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fs-20260828.htm"/>
      <w:bookmarkStart w:id="1" w:name="ksofs20260828"/>
      <w:bookmarkEnd w:id="0"/>
      <w:bookmarkEnd w:id="1"/>
      <w:r>
        <w:rPr/>
        <w:t> </w:t>
      </w:r>
    </w:p>
    <w:p>
      <w:pPr>
        <w:pStyle w:val="TextBody"/>
        <w:bidi w:val="0"/>
        <w:spacing w:before="115" w:after="120"/>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120"/>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OFS Capital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814-00813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46-1339639</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222 W. Adams Street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1850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Chicago,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60606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734-2000</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4.95%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 Notes due 2028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OFSSO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12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360"/>
        <w:jc w:val="left"/>
        <w:rPr>
          <w:rFonts w:ascii="Times New Roman" w:hAnsi="Times New Roman"/>
          <w:color w:val="000000"/>
          <w:sz w:val="22"/>
        </w:rPr>
      </w:pPr>
      <w:r>
        <w:rPr>
          <w:rFonts w:ascii="Times New Roman" w:hAnsi="Times New Roman"/>
          <w:color w:val="000000"/>
          <w:sz w:val="22"/>
        </w:rPr>
        <w:t>Item 8.01. Other Events.</w:t>
      </w:r>
    </w:p>
    <w:p>
      <w:pPr>
        <w:pStyle w:val="TextBody"/>
        <w:bidi w:val="0"/>
        <w:spacing w:before="0" w:after="360"/>
        <w:jc w:val="both"/>
        <w:rPr>
          <w:rFonts w:ascii="Times New Roman" w:hAnsi="Times New Roman"/>
          <w:i/>
          <w:color w:val="000000"/>
          <w:sz w:val="22"/>
        </w:rPr>
      </w:pPr>
      <w:r>
        <w:rPr>
          <w:rFonts w:ascii="Times New Roman" w:hAnsi="Times New Roman"/>
          <w:i/>
          <w:color w:val="000000"/>
          <w:sz w:val="22"/>
        </w:rPr>
        <w:t>Partial Redemption of 7.50% Notes due 2028</w:t>
      </w:r>
    </w:p>
    <w:p>
      <w:pPr>
        <w:pStyle w:val="TextBody"/>
        <w:bidi w:val="0"/>
        <w:jc w:val="both"/>
        <w:rPr>
          <w:rFonts w:ascii="Times New Roman" w:hAnsi="Times New Roman"/>
          <w:sz w:val="20"/>
        </w:rPr>
      </w:pPr>
      <w:r>
        <w:rPr>
          <w:rFonts w:ascii="Times New Roman" w:hAnsi="Times New Roman"/>
          <w:color w:val="000000"/>
          <w:sz w:val="22"/>
        </w:rPr>
        <w:t>On August 28, 2026, OFS Capital Corporation, a Delaware corporation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caused notices to be issued to the holders of its 7.50% Notes due 2028 (CUSIP No. 67103B 803) (the “</w:t>
      </w:r>
      <w:r>
        <w:rPr>
          <w:rFonts w:ascii="Times New Roman" w:hAnsi="Times New Roman"/>
          <w:b/>
          <w:i/>
          <w:color w:val="000000"/>
          <w:sz w:val="22"/>
        </w:rPr>
        <w:t>Notes</w:t>
      </w:r>
      <w:r>
        <w:rPr>
          <w:rFonts w:ascii="Times New Roman" w:hAnsi="Times New Roman"/>
          <w:color w:val="000000"/>
          <w:sz w:val="20"/>
        </w:rPr>
        <w:t>”</w:t>
      </w:r>
      <w:r>
        <w:rPr>
          <w:rFonts w:ascii="Times New Roman" w:hAnsi="Times New Roman"/>
          <w:color w:val="000000"/>
          <w:sz w:val="22"/>
        </w:rPr>
        <w:t>) regarding the Company’s exercise of its option to redeem a portion of the issued and outstanding Notes, pursuant to Section 1101 of the Indenture dated as of April 16, 2018, between the Company and U.S. Bank Trust Company, National Association (formerly known as U.S. Bank National Association), as trustee, and Section 1.01(h) of the Seventh Supplemental Indenture dated as of July 23, 2025. On September 29, 2026 (the “</w:t>
      </w:r>
      <w:r>
        <w:rPr>
          <w:rFonts w:ascii="Times New Roman" w:hAnsi="Times New Roman"/>
          <w:b/>
          <w:i/>
          <w:color w:val="000000"/>
          <w:sz w:val="22"/>
        </w:rPr>
        <w:t>Redemption Date</w:t>
      </w:r>
      <w:r>
        <w:rPr>
          <w:rFonts w:ascii="Times New Roman" w:hAnsi="Times New Roman"/>
          <w:color w:val="000000"/>
          <w:sz w:val="20"/>
        </w:rPr>
        <w:t>”</w:t>
      </w:r>
      <w:r>
        <w:rPr>
          <w:rFonts w:ascii="Times New Roman" w:hAnsi="Times New Roman"/>
          <w:color w:val="000000"/>
          <w:sz w:val="22"/>
        </w:rPr>
        <w:t>), the Company will redeem $20,000,000 in aggregate principal amount. The Notes will be redeemed at a redemption price equal to 100% of the principal amount of the Notes to be redeemed, plus accrued and unpaid interest, if any, to, but excluding, the Redemption Date. A copy of the notice of redemption is attached to this Current Report on Form 8-K as Exhibit 99.1 and is incorporated herein by reference.</w:t>
      </w:r>
    </w:p>
    <w:p>
      <w:pPr>
        <w:pStyle w:val="TextBody"/>
        <w:bidi w:val="0"/>
        <w:jc w:val="both"/>
        <w:rPr/>
      </w:pPr>
      <w:r>
        <w:rPr/>
        <w:t> </w:t>
      </w:r>
    </w:p>
    <w:p>
      <w:pPr>
        <w:pStyle w:val="Heading2"/>
        <w:bidi w:val="0"/>
        <w:spacing w:before="120" w:after="240"/>
        <w:jc w:val="left"/>
        <w:rPr>
          <w:rFonts w:ascii="Times New Roman" w:hAnsi="Times New Roman"/>
          <w:color w:val="000000"/>
          <w:sz w:val="22"/>
        </w:rPr>
      </w:pPr>
      <w:r>
        <w:rPr>
          <w:rFonts w:ascii="Times New Roman" w:hAnsi="Times New Roman"/>
          <w:color w:val="000000"/>
          <w:sz w:val="22"/>
        </w:rPr>
        <w:t>Item 9.01. Financial Statements and Exhibits.</w:t>
      </w:r>
    </w:p>
    <w:p>
      <w:pPr>
        <w:pStyle w:val="TextBody"/>
        <w:bidi w:val="0"/>
        <w:jc w:val="left"/>
        <w:rPr>
          <w:rFonts w:ascii="Times New Roman" w:hAnsi="Times New Roman"/>
          <w:color w:val="000000"/>
          <w:sz w:val="22"/>
        </w:rPr>
      </w:pPr>
      <w:r>
        <w:rPr>
          <w:rFonts w:ascii="Times New Roman" w:hAnsi="Times New Roman"/>
          <w:color w:val="000000"/>
          <w:sz w:val="22"/>
        </w:rPr>
        <w:t>(d) Exhibits.</w:t>
      </w:r>
    </w:p>
    <w:p>
      <w:pPr>
        <w:pStyle w:val="TextBody"/>
        <w:bidi w:val="0"/>
        <w:jc w:val="left"/>
        <w:rPr/>
      </w:pPr>
      <w:r>
        <w:rPr/>
        <w:t> </w:t>
      </w:r>
    </w:p>
    <w:p>
      <w:pPr>
        <w:pStyle w:val="TextBody"/>
        <w:bidi w:val="0"/>
        <w:jc w:val="center"/>
        <w:rPr/>
      </w:pPr>
      <w:r>
        <w:rPr/>
        <w:t> </w:t>
      </w:r>
    </w:p>
    <w:tbl>
      <w:tblPr>
        <w:tblW w:w="6088" w:type="dxa"/>
        <w:jc w:val="left"/>
        <w:tblInd w:w="0" w:type="dxa"/>
        <w:tblLayout w:type="fixed"/>
        <w:tblCellMar>
          <w:top w:w="28" w:type="dxa"/>
          <w:left w:w="28" w:type="dxa"/>
          <w:bottom w:w="28" w:type="dxa"/>
          <w:right w:w="28" w:type="dxa"/>
        </w:tblCellMar>
      </w:tblPr>
      <w:tblGrid>
        <w:gridCol w:w="1201"/>
        <w:gridCol w:w="146"/>
        <w:gridCol w:w="4741"/>
      </w:tblGrid>
      <w:tr>
        <w:trPr/>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01" w:type="dxa"/>
            <w:tcBorders/>
            <w:tcMar>
              <w:top w:w="0" w:type="dxa"/>
              <w:left w:w="0" w:type="dxa"/>
              <w:bottom w:w="0" w:type="dxa"/>
              <w:right w:w="0" w:type="dxa"/>
            </w:tcMar>
            <w:vAlign w:val="center"/>
          </w:tcPr>
          <w:p>
            <w:pPr>
              <w:pStyle w:val="TableContents"/>
              <w:bidi w:val="0"/>
              <w:spacing w:before="0" w:after="283"/>
              <w:jc w:val="left"/>
              <w:rPr/>
            </w:pPr>
            <w:hyperlink w:anchor="ofs-ex99_1.htm">
              <w:r>
                <w:rPr>
                  <w:rStyle w:val="InternetLink"/>
                  <w:rFonts w:ascii="Times New Roman" w:hAnsi="Times New Roman"/>
                  <w:color w:val="0000FF"/>
                  <w:sz w:val="22"/>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1" w:type="dxa"/>
            <w:tcBorders/>
            <w:tcMar>
              <w:top w:w="0" w:type="dxa"/>
              <w:left w:w="0" w:type="dxa"/>
              <w:bottom w:w="0" w:type="dxa"/>
              <w:right w:w="0" w:type="dxa"/>
            </w:tcMar>
            <w:vAlign w:val="center"/>
          </w:tcPr>
          <w:p>
            <w:pPr>
              <w:pStyle w:val="TableContents"/>
              <w:bidi w:val="0"/>
              <w:spacing w:before="0" w:after="283"/>
              <w:jc w:val="left"/>
              <w:rPr/>
            </w:pPr>
            <w:hyperlink w:anchor="ofs-ex99_1.htm">
              <w:r>
                <w:rPr>
                  <w:rStyle w:val="InternetLink"/>
                  <w:rFonts w:ascii="Times New Roman" w:hAnsi="Times New Roman"/>
                  <w:color w:val="0000FF"/>
                  <w:sz w:val="22"/>
                  <w:u w:val="single"/>
                </w:rPr>
                <w:t>Notice of Redemption of 7.50% Notes due 2028</w:t>
              </w:r>
            </w:hyperlink>
            <w:hyperlink w:anchor="ofs-ex99_1.htm">
              <w:r>
                <w:rPr>
                  <w:rStyle w:val="InternetLink"/>
                  <w:rFonts w:ascii="Times New Roman" w:hAnsi="Times New Roman"/>
                  <w:color w:val="0000FF"/>
                  <w:sz w:val="22"/>
                </w:rPr>
                <w:t xml:space="preserve"> </w:t>
              </w:r>
            </w:hyperlink>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 * *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404" w:type="dxa"/>
        <w:jc w:val="left"/>
        <w:tblInd w:w="0" w:type="dxa"/>
        <w:tblLayout w:type="fixed"/>
        <w:tblCellMar>
          <w:top w:w="28" w:type="dxa"/>
          <w:left w:w="28" w:type="dxa"/>
          <w:bottom w:w="28" w:type="dxa"/>
          <w:right w:w="28" w:type="dxa"/>
        </w:tblCellMar>
      </w:tblPr>
      <w:tblGrid>
        <w:gridCol w:w="556"/>
        <w:gridCol w:w="1456"/>
        <w:gridCol w:w="451"/>
        <w:gridCol w:w="294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OFS CAPITAL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28,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94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Bilal Rashid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94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ofs-ex99_1.htm"/>
      <w:bookmarkStart w:id="3" w:name="ksofsex99_1"/>
      <w:bookmarkEnd w:id="2"/>
      <w:bookmarkEnd w:id="3"/>
      <w:r>
        <w:rPr>
          <w:rFonts w:ascii="Times New Roman" w:hAnsi="Times New Roman"/>
          <w:b/>
          <w:color w:val="000000"/>
          <w:sz w:val="24"/>
        </w:rPr>
        <w:t>Exhibit 99.1</w:t>
      </w:r>
      <w:r>
        <w:br w:type="page"/>
      </w:r>
    </w:p>
    <w:p>
      <w:pPr>
        <w:pStyle w:val="TextBody"/>
        <w:bidi w:val="0"/>
        <w:spacing w:before="0" w:after="200"/>
        <w:jc w:val="center"/>
        <w:rPr>
          <w:rFonts w:ascii="Times New Roman" w:hAnsi="Times New Roman"/>
          <w:b/>
          <w:color w:val="000000"/>
          <w:sz w:val="24"/>
        </w:rPr>
      </w:pPr>
      <w:r>
        <w:rPr>
          <w:rFonts w:ascii="Times New Roman" w:hAnsi="Times New Roman"/>
          <w:b/>
          <w:color w:val="000000"/>
          <w:sz w:val="24"/>
        </w:rPr>
        <w:t>NOTICE OF REDEMPTION TO THE HOLDERS OF THE</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7.50% Notes due 2028</w:t>
      </w:r>
    </w:p>
    <w:p>
      <w:pPr>
        <w:pStyle w:val="TextBody"/>
        <w:bidi w:val="0"/>
        <w:jc w:val="center"/>
        <w:rPr>
          <w:rFonts w:ascii="Times New Roman" w:hAnsi="Times New Roman"/>
          <w:b/>
          <w:color w:val="000000"/>
          <w:sz w:val="24"/>
        </w:rPr>
      </w:pPr>
      <w:r>
        <w:rPr>
          <w:rFonts w:ascii="Times New Roman" w:hAnsi="Times New Roman"/>
          <w:b/>
          <w:color w:val="000000"/>
          <w:sz w:val="24"/>
        </w:rPr>
        <w:t>of OFS Capital Corporation</w:t>
      </w:r>
    </w:p>
    <w:p>
      <w:pPr>
        <w:pStyle w:val="TextBody"/>
        <w:bidi w:val="0"/>
        <w:jc w:val="center"/>
        <w:rPr>
          <w:rFonts w:ascii="Times New Roman" w:hAnsi="Times New Roman"/>
          <w:sz w:val="20"/>
        </w:rPr>
      </w:pPr>
      <w:r>
        <w:rPr>
          <w:rFonts w:ascii="Times New Roman" w:hAnsi="Times New Roman"/>
          <w:b/>
          <w:color w:val="000000"/>
          <w:sz w:val="24"/>
        </w:rPr>
        <w:t>(CUSIP No. 67103B 803)*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4"/>
        </w:rPr>
        <w:t>Redemption Date: September 29,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NOTICE IS HEREBY GIVEN, pursuant to Section 1101 of the Indenture dated as of April 16, 2018 (the “</w:t>
      </w:r>
      <w:r>
        <w:rPr>
          <w:rFonts w:ascii="Times New Roman" w:hAnsi="Times New Roman"/>
          <w:color w:val="000000"/>
          <w:sz w:val="24"/>
          <w:u w:val="single"/>
        </w:rPr>
        <w:t>Base Indenture</w:t>
      </w:r>
      <w:r>
        <w:rPr>
          <w:rFonts w:ascii="Times New Roman" w:hAnsi="Times New Roman"/>
          <w:color w:val="000000"/>
          <w:sz w:val="20"/>
        </w:rPr>
        <w:t>”</w:t>
      </w:r>
      <w:r>
        <w:rPr>
          <w:rFonts w:ascii="Times New Roman" w:hAnsi="Times New Roman"/>
          <w:color w:val="000000"/>
          <w:sz w:val="24"/>
        </w:rPr>
        <w:t>), between OFS Capital Corporation,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and U.S. Bank Trust Company, National Association (formerly known as U.S. Bank National Association) (the “</w:t>
      </w:r>
      <w:r>
        <w:rPr>
          <w:rFonts w:ascii="Times New Roman" w:hAnsi="Times New Roman"/>
          <w:color w:val="000000"/>
          <w:sz w:val="24"/>
          <w:u w:val="single"/>
        </w:rPr>
        <w:t>Trustee</w:t>
      </w:r>
      <w:r>
        <w:rPr>
          <w:rFonts w:ascii="Times New Roman" w:hAnsi="Times New Roman"/>
          <w:color w:val="000000"/>
          <w:sz w:val="24"/>
        </w:rPr>
        <w:t>), and Section 1.01(h) of the Seventh Supplemental Indenture dated as of July 23, 2025 (the “</w:t>
      </w:r>
      <w:r>
        <w:rPr>
          <w:rFonts w:ascii="Times New Roman" w:hAnsi="Times New Roman"/>
          <w:color w:val="000000"/>
          <w:sz w:val="24"/>
          <w:u w:val="single"/>
        </w:rPr>
        <w:t>Seventh Supplemental Indenture</w:t>
      </w:r>
      <w:r>
        <w:rPr>
          <w:rFonts w:ascii="Times New Roman" w:hAnsi="Times New Roman"/>
          <w:color w:val="000000"/>
          <w:sz w:val="24"/>
        </w:rPr>
        <w:t>,” and together with the Base Indenture, the “</w:t>
      </w:r>
      <w:r>
        <w:rPr>
          <w:rFonts w:ascii="Times New Roman" w:hAnsi="Times New Roman"/>
          <w:color w:val="000000"/>
          <w:sz w:val="24"/>
          <w:u w:val="single"/>
        </w:rPr>
        <w:t>Indenture</w:t>
      </w:r>
      <w:r>
        <w:rPr>
          <w:rFonts w:ascii="Times New Roman" w:hAnsi="Times New Roman"/>
          <w:color w:val="000000"/>
          <w:sz w:val="20"/>
        </w:rPr>
        <w:t>”</w:t>
      </w:r>
      <w:r>
        <w:rPr>
          <w:rFonts w:ascii="Times New Roman" w:hAnsi="Times New Roman"/>
          <w:color w:val="000000"/>
          <w:sz w:val="24"/>
        </w:rPr>
        <w:t>), that the Company is electing to exercise its option to effect a redemption of the 7.50% Notes due 2028 (the “</w:t>
      </w:r>
      <w:r>
        <w:rPr>
          <w:rFonts w:ascii="Times New Roman" w:hAnsi="Times New Roman"/>
          <w:color w:val="000000"/>
          <w:sz w:val="24"/>
          <w:u w:val="single"/>
        </w:rPr>
        <w:t>Notes</w:t>
      </w:r>
      <w:r>
        <w:rPr>
          <w:rFonts w:ascii="Times New Roman" w:hAnsi="Times New Roman"/>
          <w:color w:val="000000"/>
          <w:sz w:val="20"/>
        </w:rPr>
        <w:t>”</w:t>
      </w:r>
      <w:r>
        <w:rPr>
          <w:rFonts w:ascii="Times New Roman" w:hAnsi="Times New Roman"/>
          <w:color w:val="000000"/>
          <w:sz w:val="24"/>
        </w:rPr>
        <w:t>). The Company will redeem a portion of the $69,000,000 issued and outstanding Notes ($20,000,000 in aggregate principal amount) on September 29, 2026 (the “</w:t>
      </w:r>
      <w:r>
        <w:rPr>
          <w:rFonts w:ascii="Times New Roman" w:hAnsi="Times New Roman"/>
          <w:color w:val="000000"/>
          <w:sz w:val="24"/>
          <w:u w:val="single"/>
        </w:rPr>
        <w:t>Redemption Date</w:t>
      </w:r>
      <w:r>
        <w:rPr>
          <w:rFonts w:ascii="Times New Roman" w:hAnsi="Times New Roman"/>
          <w:color w:val="000000"/>
          <w:sz w:val="20"/>
        </w:rPr>
        <w:t>”</w:t>
      </w:r>
      <w:r>
        <w:rPr>
          <w:rFonts w:ascii="Times New Roman" w:hAnsi="Times New Roman"/>
          <w:color w:val="000000"/>
          <w:sz w:val="24"/>
        </w:rPr>
        <w:t>). The redemption price for the Notes will be equal to 100% of the principal amount of the Notes to be redeemed, plus accrued and unpaid interest, if any, to, but excluding, the Redemption Date (the “</w:t>
      </w:r>
      <w:r>
        <w:rPr>
          <w:rFonts w:ascii="Times New Roman" w:hAnsi="Times New Roman"/>
          <w:color w:val="000000"/>
          <w:sz w:val="24"/>
          <w:u w:val="single"/>
        </w:rPr>
        <w:t>Redemption Payment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On the Redemption Date, the Redemption Payment will become due and payable to the Holders of the Notes that are redeemed. Interest on the $20,000,000 in principal amount of Notes being redeemed will cease to accrue on and after the Redemption Date. Unless the Company defaults in paying the Redemption Payment with respect to such Notes, the only remaining right of the Holders with respect to such Notes will be to receive payment of the Redemption Payment upon presentation and surrender of such Notes to the Trustee in its capacity as Paying Agent. Notes held in book-entry form will be redeemed and the Redemption Payment with respect to such Notes will be paid in accordance with the applicable procedures of The Depository Trust Company.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Capitalized terms used but not defined herein shall have the meaning ascribed to them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Questions relating to this notice of redemption should be directed to U.S. Bank Trust Company, National Association as Trustee via telephone at 1-800-934-6802. Payment of the Redemption Payment to the Holders will be made upon presentation and surrender of the Notes in the following manner:</w:t>
      </w:r>
      <w:r>
        <w:rPr>
          <w:rFonts w:ascii="Times New Roman" w:hAnsi="Times New Roman"/>
          <w:color w:val="000000"/>
          <w:sz w:val="20"/>
        </w:rPr>
        <w:t xml:space="preserve"> </w:t>
      </w:r>
    </w:p>
    <w:tbl>
      <w:tblPr>
        <w:tblW w:w="6525" w:type="dxa"/>
        <w:jc w:val="left"/>
        <w:tblInd w:w="0" w:type="dxa"/>
        <w:tblLayout w:type="fixed"/>
        <w:tblCellMar>
          <w:top w:w="28" w:type="dxa"/>
          <w:left w:w="28" w:type="dxa"/>
          <w:bottom w:w="28" w:type="dxa"/>
          <w:right w:w="28" w:type="dxa"/>
        </w:tblCellMar>
      </w:tblPr>
      <w:tblGrid>
        <w:gridCol w:w="161"/>
        <w:gridCol w:w="146"/>
        <w:gridCol w:w="146"/>
        <w:gridCol w:w="146"/>
        <w:gridCol w:w="592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6" w:type="dxa"/>
            <w:tcBorders/>
            <w:tcMar>
              <w:top w:w="0" w:type="dxa"/>
              <w:left w:w="0" w:type="dxa"/>
              <w:bottom w:w="0" w:type="dxa"/>
              <w:right w:w="0" w:type="dxa"/>
            </w:tcMar>
            <w:vAlign w:val="center"/>
          </w:tcPr>
          <w:p>
            <w:pPr>
              <w:pStyle w:val="TableContents"/>
              <w:bidi w:val="0"/>
              <w:jc w:val="left"/>
              <w:rPr>
                <w:rFonts w:ascii="Times New Roman" w:hAnsi="Times New Roman"/>
                <w:i/>
                <w:color w:val="000000"/>
                <w:sz w:val="24"/>
                <w:u w:val="single"/>
              </w:rPr>
            </w:pPr>
            <w:r>
              <w:rPr>
                <w:rFonts w:ascii="Times New Roman" w:hAnsi="Times New Roman"/>
                <w:i/>
                <w:color w:val="000000"/>
                <w:sz w:val="24"/>
                <w:u w:val="single"/>
              </w:rPr>
              <w:t>If by Mail, Hand or Overnight Mail:</w:t>
            </w:r>
          </w:p>
          <w:p>
            <w:pPr>
              <w:pStyle w:val="TableContents"/>
              <w:bidi w:val="0"/>
              <w:jc w:val="left"/>
              <w:rPr>
                <w:rFonts w:ascii="Times New Roman" w:hAnsi="Times New Roman"/>
                <w:sz w:val="24"/>
              </w:rPr>
            </w:pPr>
            <w:r>
              <w:rPr>
                <w:rFonts w:ascii="Times New Roman" w:hAnsi="Times New Roman"/>
                <w:b/>
                <w:color w:val="000000"/>
                <w:sz w:val="24"/>
              </w:rPr>
              <w:t>U.S. Bank Trust Company, National Association</w:t>
            </w:r>
            <w:r>
              <w:rPr>
                <w:rFonts w:ascii="Times New Roman" w:hAnsi="Times New Roman"/>
                <w:color w:val="000000"/>
                <w:sz w:val="24"/>
              </w:rPr>
              <w:t xml:space="preserve"> </w:t>
            </w:r>
          </w:p>
          <w:p>
            <w:pPr>
              <w:pStyle w:val="TableContents"/>
              <w:bidi w:val="0"/>
              <w:jc w:val="left"/>
              <w:rPr>
                <w:rFonts w:ascii="Times New Roman" w:hAnsi="Times New Roman"/>
                <w:sz w:val="24"/>
              </w:rPr>
            </w:pPr>
            <w:r>
              <w:rPr>
                <w:rFonts w:ascii="Times New Roman" w:hAnsi="Times New Roman"/>
                <w:b/>
                <w:color w:val="000000"/>
                <w:sz w:val="24"/>
              </w:rPr>
              <w:t>Global Corporate Trust</w:t>
            </w:r>
            <w:r>
              <w:rPr>
                <w:rFonts w:ascii="Times New Roman" w:hAnsi="Times New Roman"/>
                <w:color w:val="000000"/>
                <w:sz w:val="24"/>
              </w:rPr>
              <w:t xml:space="preserve"> </w:t>
            </w:r>
          </w:p>
          <w:p>
            <w:pPr>
              <w:pStyle w:val="TableContents"/>
              <w:bidi w:val="0"/>
              <w:spacing w:before="0" w:after="20"/>
              <w:jc w:val="left"/>
              <w:rPr>
                <w:rFonts w:ascii="Times New Roman" w:hAnsi="Times New Roman"/>
                <w:color w:val="000000"/>
                <w:sz w:val="24"/>
              </w:rPr>
            </w:pPr>
            <w:r>
              <w:rPr>
                <w:rFonts w:ascii="Times New Roman" w:hAnsi="Times New Roman"/>
                <w:color w:val="000000"/>
                <w:sz w:val="24"/>
              </w:rPr>
              <w:t xml:space="preserve">111 Fillmore Avenue E. </w:t>
            </w:r>
          </w:p>
          <w:p>
            <w:pPr>
              <w:pStyle w:val="TableContents"/>
              <w:bidi w:val="0"/>
              <w:spacing w:before="0" w:after="20"/>
              <w:jc w:val="left"/>
              <w:rPr>
                <w:rFonts w:ascii="Times New Roman" w:hAnsi="Times New Roman"/>
                <w:color w:val="000000"/>
                <w:sz w:val="24"/>
              </w:rPr>
            </w:pPr>
            <w:r>
              <w:rPr>
                <w:rFonts w:ascii="Times New Roman" w:hAnsi="Times New Roman"/>
                <w:color w:val="000000"/>
                <w:sz w:val="24"/>
              </w:rPr>
              <w:t>St. Paul, MN 55107</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Attention: OFS Capital Corporation (7.50% Notes due 2028)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99.1</w:t>
      </w:r>
    </w:p>
    <w:p>
      <w:pPr>
        <w:pStyle w:val="TextBody"/>
        <w:bidi w:val="0"/>
        <w:spacing w:before="240" w:after="283"/>
        <w:jc w:val="both"/>
        <w:rPr>
          <w:rFonts w:ascii="Times New Roman" w:hAnsi="Times New Roman"/>
          <w:sz w:val="20"/>
        </w:rPr>
      </w:pPr>
      <w:r>
        <w:rPr>
          <w:rFonts w:ascii="Times New Roman" w:hAnsi="Times New Roman"/>
          <w:i/>
          <w:color w:val="000000"/>
          <w:sz w:val="24"/>
        </w:rPr>
        <w:t>*The CUSIP number has been assigned to this issue by organizations not affiliated with the Company or the Trustee and is included solely for the convenience of the noteholders. Neither the Company nor the Trustee shall be responsible for the selection or use of this CUSIP number, nor is any representation made as to the correctness or accuracy of the same on the Notes or as indicated in this Notice of Redemption.</w:t>
      </w:r>
      <w:r>
        <w:rPr>
          <w:rFonts w:ascii="Times New Roman" w:hAnsi="Times New Roman"/>
          <w:color w:val="000000"/>
          <w:sz w:val="20"/>
        </w:rPr>
        <w:t xml:space="preserve"> </w:t>
      </w:r>
    </w:p>
    <w:p>
      <w:pPr>
        <w:pStyle w:val="TextBody"/>
        <w:bidi w:val="0"/>
        <w:spacing w:before="360" w:after="240"/>
        <w:jc w:val="both"/>
        <w:rPr>
          <w:rFonts w:ascii="Times New Roman" w:hAnsi="Times New Roman"/>
          <w:sz w:val="20"/>
        </w:rPr>
      </w:pPr>
      <w:r>
        <w:rPr>
          <w:rFonts w:ascii="Times New Roman" w:hAnsi="Times New Roman"/>
          <w:color w:val="000000"/>
          <w:sz w:val="24"/>
          <w:u w:val="single"/>
        </w:rPr>
        <w:t>NOTICE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Under U.S. federal income tax law, the Trustee or other withholding agent may be required to backup withhold for U.S. federal income tax purposes twenty-four percent (24%) of any gross payment to a non-corporate holder (i) who fails to provide a taxpayer identification number and other required certifications or (ii) with respect to whom the Internal Revenue Service notifies us that such holder has failed to properly report certain interest and dividend income to the Internal Revenue Service and to respond to notices to that effect. Please complete a Form W-9 or an appropriate Form W-8, as applicable, which should be furnished in connection with the presentment and surrender of the Notes called for redemption. Any amounts withheld under the backup withholding rules are not additional taxes and may be allowed as a refund or a credit against a holder’s U.S. federal income tax liability, if any, provided the required information is timely furnished to the Internal Revenue Service. Holders should consult their tax advisors regarding the withholding and other tax consequences of the redemption.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291"/>
        <w:gridCol w:w="7360"/>
        <w:gridCol w:w="554"/>
      </w:tblGrid>
      <w:tr>
        <w:trPr/>
        <w:tc>
          <w:tcPr>
            <w:tcW w:w="2291" w:type="dxa"/>
            <w:tcBorders/>
            <w:vAlign w:val="center"/>
          </w:tcPr>
          <w:p>
            <w:pPr>
              <w:pStyle w:val="TableContents"/>
              <w:bidi w:val="0"/>
              <w:spacing w:before="0" w:after="283"/>
              <w:jc w:val="left"/>
              <w:rPr>
                <w:sz w:val="4"/>
                <w:szCs w:val="4"/>
              </w:rPr>
            </w:pPr>
            <w:r>
              <w:rPr>
                <w:sz w:val="4"/>
                <w:szCs w:val="4"/>
              </w:rPr>
            </w:r>
          </w:p>
        </w:tc>
        <w:tc>
          <w:tcPr>
            <w:tcW w:w="736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291" w:type="dxa"/>
            <w:tcBorders/>
            <w:tcMar>
              <w:top w:w="0" w:type="dxa"/>
              <w:left w:w="0" w:type="dxa"/>
              <w:bottom w:w="0" w:type="dxa"/>
              <w:right w:w="0" w:type="dxa"/>
            </w:tcMar>
            <w:vAlign w:val="center"/>
          </w:tcPr>
          <w:p>
            <w:pPr>
              <w:pStyle w:val="TableContents"/>
              <w:bidi w:val="0"/>
              <w:spacing w:before="0" w:after="283"/>
              <w:jc w:val="both"/>
              <w:rPr/>
            </w:pPr>
            <w:r>
              <w:rPr/>
              <w:t> </w:t>
            </w:r>
          </w:p>
        </w:tc>
        <w:tc>
          <w:tcPr>
            <w:tcW w:w="7360" w:type="dxa"/>
            <w:tcBorders/>
            <w:tcMar>
              <w:top w:w="0" w:type="dxa"/>
              <w:left w:w="0" w:type="dxa"/>
              <w:bottom w:w="0" w:type="dxa"/>
              <w:right w:w="0" w:type="dxa"/>
            </w:tcMar>
            <w:vAlign w:val="center"/>
          </w:tcPr>
          <w:p>
            <w:pPr>
              <w:pStyle w:val="TableContents"/>
              <w:bidi w:val="0"/>
              <w:spacing w:before="0" w:after="283"/>
              <w:jc w:val="both"/>
              <w:rPr/>
            </w:pPr>
            <w:r>
              <w:rPr/>
              <w:t> </w:t>
            </w:r>
          </w:p>
        </w:tc>
        <w:tc>
          <w:tcPr>
            <w:tcW w:w="55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291" w:type="dxa"/>
            <w:tcBorders/>
            <w:tcMar>
              <w:top w:w="0" w:type="dxa"/>
              <w:left w:w="0" w:type="dxa"/>
              <w:bottom w:w="0" w:type="dxa"/>
              <w:right w:w="0" w:type="dxa"/>
            </w:tcMar>
            <w:vAlign w:val="center"/>
          </w:tcPr>
          <w:p>
            <w:pPr>
              <w:pStyle w:val="TableContents"/>
              <w:bidi w:val="0"/>
              <w:spacing w:before="0" w:after="283"/>
              <w:jc w:val="both"/>
              <w:rPr/>
            </w:pPr>
            <w:r>
              <w:rPr/>
              <w:t> </w:t>
            </w:r>
          </w:p>
        </w:tc>
        <w:tc>
          <w:tcPr>
            <w:tcW w:w="7914"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291" w:type="dxa"/>
            <w:tcBorders/>
            <w:tcMar>
              <w:top w:w="0" w:type="dxa"/>
              <w:left w:w="0" w:type="dxa"/>
              <w:bottom w:w="0" w:type="dxa"/>
              <w:right w:w="0" w:type="dxa"/>
            </w:tcMar>
            <w:vAlign w:val="center"/>
          </w:tcPr>
          <w:p>
            <w:pPr>
              <w:pStyle w:val="TableContents"/>
              <w:bidi w:val="0"/>
              <w:spacing w:before="0" w:after="283"/>
              <w:jc w:val="both"/>
              <w:rPr/>
            </w:pPr>
            <w:r>
              <w:rPr/>
              <w:t> </w:t>
            </w:r>
          </w:p>
        </w:tc>
        <w:tc>
          <w:tcPr>
            <w:tcW w:w="736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4"/>
              </w:rPr>
            </w:pPr>
            <w:r>
              <w:rPr>
                <w:rFonts w:ascii="Times New Roman" w:hAnsi="Times New Roman"/>
                <w:i/>
                <w:color w:val="000000"/>
                <w:sz w:val="24"/>
              </w:rPr>
              <w:t>OFS Capital Corporation</w:t>
            </w:r>
          </w:p>
        </w:tc>
        <w:tc>
          <w:tcPr>
            <w:tcW w:w="55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29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4"/>
              </w:rPr>
            </w:pPr>
            <w:r>
              <w:rPr>
                <w:rFonts w:ascii="Times New Roman" w:hAnsi="Times New Roman"/>
                <w:color w:val="000000"/>
                <w:sz w:val="24"/>
              </w:rPr>
              <w:t>Dated: August 28, 2026</w:t>
            </w:r>
          </w:p>
          <w:p>
            <w:pPr>
              <w:pStyle w:val="TableContents"/>
              <w:bidi w:val="0"/>
              <w:spacing w:before="0" w:after="283"/>
              <w:jc w:val="left"/>
              <w:rPr/>
            </w:pPr>
            <w:r>
              <w:rPr/>
              <w:t> </w:t>
            </w:r>
          </w:p>
        </w:tc>
        <w:tc>
          <w:tcPr>
            <w:tcW w:w="7914"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4"/>
              </w:rPr>
            </w:pPr>
            <w:r>
              <w:rPr>
                <w:rFonts w:ascii="Times New Roman" w:hAnsi="Times New Roman"/>
                <w:b/>
                <w:color w:val="000000"/>
                <w:sz w:val="24"/>
              </w:rPr>
              <w:t>By: U.S. Bank Trust Company, National Association</w:t>
            </w:r>
            <w:r>
              <w:rPr>
                <w:rFonts w:ascii="Times New Roman" w:hAnsi="Times New Roman"/>
                <w:color w:val="000000"/>
                <w:sz w:val="24"/>
              </w:rPr>
              <w:t>, as Trustee and Paying Agent</w:t>
            </w:r>
          </w:p>
        </w:tc>
      </w:tr>
      <w:tr>
        <w:trPr/>
        <w:tc>
          <w:tcPr>
            <w:tcW w:w="2291" w:type="dxa"/>
            <w:tcBorders/>
            <w:tcMar>
              <w:top w:w="0" w:type="dxa"/>
              <w:left w:w="0" w:type="dxa"/>
              <w:bottom w:w="0" w:type="dxa"/>
              <w:right w:w="0" w:type="dxa"/>
            </w:tcMar>
            <w:vAlign w:val="center"/>
          </w:tcPr>
          <w:p>
            <w:pPr>
              <w:pStyle w:val="TableContents"/>
              <w:bidi w:val="0"/>
              <w:spacing w:before="0" w:after="283"/>
              <w:jc w:val="both"/>
              <w:rPr/>
            </w:pPr>
            <w:r>
              <w:rPr/>
              <w:t> </w:t>
            </w:r>
          </w:p>
        </w:tc>
        <w:tc>
          <w:tcPr>
            <w:tcW w:w="73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1244</Words>
  <Characters>6578</Characters>
  <CharactersWithSpaces>7826</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