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fs-20260630.htm"/>
      <w:bookmarkStart w:id="1" w:name="ksofs20260630"/>
      <w:bookmarkEnd w:id="0"/>
      <w:bookmarkEnd w:id="1"/>
      <w:r>
        <w:rPr/>
        <w:t> </w:t>
      </w:r>
    </w:p>
    <w:p>
      <w:pPr>
        <w:pStyle w:val="TextBody"/>
        <w:pBdr>
          <w:top w:val="double" w:sz="2" w:space="1" w:color="000000"/>
        </w:pBdr>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spacing w:before="0" w:after="6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120"/>
        <w:jc w:val="center"/>
        <w:rPr>
          <w:rFonts w:ascii="Times New Roman" w:hAnsi="Times New Roman"/>
          <w:b/>
          <w:color w:val="000000"/>
          <w:sz w:val="32"/>
        </w:rPr>
      </w:pPr>
      <w:r>
        <w:rPr>
          <w:rFonts w:ascii="Times New Roman" w:hAnsi="Times New Roman"/>
          <w:b/>
          <w:color w:val="000000"/>
          <w:sz w:val="32"/>
        </w:rPr>
        <w:t>FORM 10-Q</w:t>
      </w:r>
    </w:p>
    <w:p>
      <w:pPr>
        <w:pStyle w:val="TextBody"/>
        <w:bidi w:val="0"/>
        <w:jc w:val="center"/>
        <w:rPr>
          <w:rFonts w:ascii="Times New Roman" w:hAnsi="Times New Roman"/>
          <w:b/>
          <w:color w:val="000000"/>
          <w:sz w:val="20"/>
        </w:rPr>
      </w:pPr>
      <w:r>
        <w:rPr>
          <w:rFonts w:ascii="Times New Roman" w:hAnsi="Times New Roman"/>
          <w:b/>
          <w:color w:val="000000"/>
          <w:sz w:val="20"/>
        </w:rPr>
        <w:t>(Mark One)</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QUARTERLY REPORT PURSUANT TO SECTION 13 OR 15(d) OF THE SECURITIES EXCHANGE ACT OF 1934</w:t>
            </w:r>
          </w:p>
        </w:tc>
      </w:tr>
    </w:tbl>
    <w:p>
      <w:pPr>
        <w:pStyle w:val="TextBody"/>
        <w:bidi w:val="0"/>
        <w:spacing w:before="60" w:after="283"/>
        <w:jc w:val="center"/>
        <w:rPr>
          <w:rFonts w:ascii="Times New Roman" w:hAnsi="Times New Roman"/>
          <w:color w:val="000000"/>
          <w:sz w:val="20"/>
        </w:rPr>
      </w:pPr>
      <w:r>
        <w:rPr>
          <w:rFonts w:ascii="Times New Roman" w:hAnsi="Times New Roman"/>
          <w:color w:val="000000"/>
          <w:sz w:val="20"/>
        </w:rPr>
        <w:t xml:space="preserve">For the quarterly period ended June 30, 2026 </w:t>
      </w:r>
    </w:p>
    <w:p>
      <w:pPr>
        <w:pStyle w:val="TextBody"/>
        <w:bidi w:val="0"/>
        <w:jc w:val="center"/>
        <w:rPr>
          <w:rFonts w:ascii="Times New Roman" w:hAnsi="Times New Roman"/>
          <w:color w:val="000000"/>
          <w:sz w:val="20"/>
        </w:rPr>
      </w:pPr>
      <w:r>
        <w:rPr>
          <w:rFonts w:ascii="Times New Roman" w:hAnsi="Times New Roman"/>
          <w:color w:val="000000"/>
          <w:sz w:val="20"/>
        </w:rPr>
        <w:t>or</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53" w:after="30"/>
              <w:jc w:val="center"/>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For the transition period from _______ to _______</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Commission file number 814-00813</w:t>
      </w:r>
    </w:p>
    <w:p>
      <w:pPr>
        <w:pStyle w:val="TextBody"/>
        <w:bidi w:val="0"/>
        <w:jc w:val="center"/>
        <w:rPr>
          <w:rFonts w:ascii="Times New Roman" w:hAnsi="Times New Roman"/>
          <w:b/>
          <w:color w:val="000000"/>
          <w:sz w:val="28"/>
        </w:rPr>
      </w:pPr>
      <w:r>
        <w:rPr>
          <w:rFonts w:ascii="Times New Roman" w:hAnsi="Times New Roman"/>
          <w:b/>
          <w:color w:val="000000"/>
          <w:sz w:val="28"/>
        </w:rPr>
        <w:t>OFS CAPITAL CORPORATION</w:t>
      </w:r>
    </w:p>
    <w:p>
      <w:pPr>
        <w:pStyle w:val="TextBody"/>
        <w:bidi w:val="0"/>
        <w:spacing w:before="0" w:after="10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8223" w:type="dxa"/>
        <w:jc w:val="left"/>
        <w:tblInd w:w="0" w:type="dxa"/>
        <w:tblLayout w:type="fixed"/>
        <w:tblCellMar>
          <w:top w:w="28" w:type="dxa"/>
          <w:left w:w="28" w:type="dxa"/>
          <w:bottom w:w="28" w:type="dxa"/>
          <w:right w:w="28" w:type="dxa"/>
        </w:tblCellMar>
      </w:tblPr>
      <w:tblGrid>
        <w:gridCol w:w="4246"/>
        <w:gridCol w:w="1381"/>
        <w:gridCol w:w="2596"/>
      </w:tblGrid>
      <w:tr>
        <w:trPr/>
        <w:tc>
          <w:tcPr>
            <w:tcW w:w="424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42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c>
          <w:tcPr>
            <w:tcW w:w="13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46-1339639</w:t>
            </w:r>
          </w:p>
        </w:tc>
      </w:tr>
      <w:tr>
        <w:trPr/>
        <w:tc>
          <w:tcPr>
            <w:tcW w:w="4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State or Other Jurisdiction of</w:t>
            </w:r>
          </w:p>
        </w:tc>
        <w:tc>
          <w:tcPr>
            <w:tcW w:w="1381"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I.R.S. Employer Identification No.</w:t>
            </w:r>
          </w:p>
        </w:tc>
      </w:tr>
      <w:tr>
        <w:trPr/>
        <w:tc>
          <w:tcPr>
            <w:tcW w:w="4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Incorporation or Organization</w:t>
            </w:r>
          </w:p>
        </w:tc>
        <w:tc>
          <w:tcPr>
            <w:tcW w:w="1381"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222 W. Adams Street, Suite 1850, Chicago, Illinois</w:t>
            </w:r>
          </w:p>
        </w:tc>
        <w:tc>
          <w:tcPr>
            <w:tcW w:w="13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5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60606</w:t>
            </w:r>
          </w:p>
        </w:tc>
      </w:tr>
      <w:tr>
        <w:trPr/>
        <w:tc>
          <w:tcPr>
            <w:tcW w:w="4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Address of Principal Executive Offices</w:t>
            </w:r>
          </w:p>
        </w:tc>
        <w:tc>
          <w:tcPr>
            <w:tcW w:w="1381"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Zip Code</w:t>
            </w:r>
          </w:p>
        </w:tc>
      </w:tr>
      <w:tr>
        <w:trPr/>
        <w:tc>
          <w:tcPr>
            <w:tcW w:w="42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(847) 734-2000</w:t>
            </w:r>
          </w:p>
        </w:tc>
        <w:tc>
          <w:tcPr>
            <w:tcW w:w="259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22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Registrant’s Telephone Number, Including Area Code</w:t>
            </w:r>
          </w:p>
        </w:tc>
      </w:tr>
      <w:tr>
        <w:trPr/>
        <w:tc>
          <w:tcPr>
            <w:tcW w:w="42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23"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Not applicable </w:t>
            </w:r>
          </w:p>
        </w:tc>
      </w:tr>
      <w:tr>
        <w:trPr/>
        <w:tc>
          <w:tcPr>
            <w:tcW w:w="822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Former Name, Former Address and Former Fiscal Year, if Changed Since Last Report</w:t>
            </w:r>
          </w:p>
        </w:tc>
      </w:tr>
    </w:tbl>
    <w:p>
      <w:pPr>
        <w:pStyle w:val="TextBody"/>
        <w:bidi w:val="0"/>
        <w:spacing w:before="0" w:after="120"/>
        <w:jc w:val="center"/>
        <w:rPr>
          <w:rFonts w:ascii="Times New Roman" w:hAnsi="Times New Roman"/>
          <w:color w:val="000000"/>
          <w:sz w:val="20"/>
        </w:rPr>
      </w:pPr>
      <w:r>
        <w:rPr>
          <w:rFonts w:ascii="Times New Roman" w:hAnsi="Times New Roman"/>
          <w:color w:val="000000"/>
          <w:sz w:val="20"/>
        </w:rPr>
        <w:t>Securities registered pursuant to Section 12(b) of the Act:</w:t>
      </w:r>
    </w:p>
    <w:tbl>
      <w:tblPr>
        <w:tblW w:w="8823" w:type="dxa"/>
        <w:jc w:val="left"/>
        <w:tblInd w:w="0" w:type="dxa"/>
        <w:tblLayout w:type="fixed"/>
        <w:tblCellMar>
          <w:top w:w="28" w:type="dxa"/>
          <w:left w:w="28" w:type="dxa"/>
          <w:bottom w:w="28" w:type="dxa"/>
          <w:right w:w="28" w:type="dxa"/>
        </w:tblCellMar>
      </w:tblPr>
      <w:tblGrid>
        <w:gridCol w:w="3496"/>
        <w:gridCol w:w="1621"/>
        <w:gridCol w:w="3706"/>
      </w:tblGrid>
      <w:tr>
        <w:trPr/>
        <w:tc>
          <w:tcPr>
            <w:tcW w:w="349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37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 per share</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OFS</w:t>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4.95% Notes due 2028</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OFSSH</w:t>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7.50% Notes due 2028</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OFSSO</w:t>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jc w:val="center"/>
        <w:rPr/>
      </w:pPr>
      <w:r>
        <w:rPr/>
        <w:t> </w:t>
      </w:r>
    </w:p>
    <w:p>
      <w:pPr>
        <w:pStyle w:val="TextBody"/>
        <w:bidi w:val="0"/>
        <w:spacing w:before="120" w:after="3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90" w:after="30"/>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jc w:val="left"/>
        <w:rPr/>
      </w:pPr>
      <w:r>
        <w:rPr/>
        <w:t> </w:t>
      </w:r>
    </w:p>
    <w:tbl>
      <w:tblPr>
        <w:tblW w:w="5201" w:type="dxa"/>
        <w:jc w:val="left"/>
        <w:tblInd w:w="0" w:type="dxa"/>
        <w:tblLayout w:type="fixed"/>
        <w:tblCellMar>
          <w:top w:w="28" w:type="dxa"/>
          <w:left w:w="28" w:type="dxa"/>
          <w:bottom w:w="28" w:type="dxa"/>
          <w:right w:w="28" w:type="dxa"/>
        </w:tblCellMar>
      </w:tblPr>
      <w:tblGrid>
        <w:gridCol w:w="161"/>
        <w:gridCol w:w="1906"/>
        <w:gridCol w:w="316"/>
        <w:gridCol w:w="2311"/>
        <w:gridCol w:w="31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53" w:after="30"/>
              <w:jc w:val="left"/>
              <w:rPr/>
            </w:pPr>
            <w:r>
              <w:rPr/>
              <w:t> </w:t>
            </w:r>
          </w:p>
        </w:tc>
        <w:tc>
          <w:tcPr>
            <w:tcW w:w="190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53" w:after="30"/>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Accelerated filer</w:t>
            </w:r>
          </w:p>
        </w:tc>
        <w:tc>
          <w:tcPr>
            <w:tcW w:w="316" w:type="dxa"/>
            <w:tcBorders/>
            <w:tcMar>
              <w:top w:w="0" w:type="dxa"/>
              <w:left w:w="0" w:type="dxa"/>
              <w:bottom w:w="0" w:type="dxa"/>
              <w:right w:w="0" w:type="dxa"/>
            </w:tcMar>
            <w:vAlign w:val="center"/>
          </w:tcPr>
          <w:p>
            <w:pPr>
              <w:pStyle w:val="TableContents"/>
              <w:bidi w:val="0"/>
              <w:spacing w:before="53" w:after="30"/>
              <w:jc w:val="lef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53" w:after="3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53" w:after="30"/>
              <w:jc w:val="left"/>
              <w:rPr/>
            </w:pPr>
            <w:r>
              <w:rPr/>
              <w:t> </w:t>
            </w:r>
          </w:p>
        </w:tc>
        <w:tc>
          <w:tcPr>
            <w:tcW w:w="190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53" w:after="30"/>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Smaller reporting company</w:t>
            </w:r>
          </w:p>
        </w:tc>
        <w:tc>
          <w:tcPr>
            <w:tcW w:w="316" w:type="dxa"/>
            <w:tcBorders/>
            <w:tcMar>
              <w:top w:w="0" w:type="dxa"/>
              <w:left w:w="0" w:type="dxa"/>
              <w:bottom w:w="0" w:type="dxa"/>
              <w:right w:w="0" w:type="dxa"/>
            </w:tcMar>
            <w:vAlign w:val="center"/>
          </w:tcPr>
          <w:p>
            <w:pPr>
              <w:pStyle w:val="TableContents"/>
              <w:bidi w:val="0"/>
              <w:spacing w:before="53" w:after="30"/>
              <w:jc w:val="lef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53" w:after="3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53" w:after="30"/>
              <w:jc w:val="left"/>
              <w:rPr/>
            </w:pPr>
            <w:r>
              <w:rPr/>
              <w:t> </w:t>
            </w:r>
          </w:p>
        </w:tc>
        <w:tc>
          <w:tcPr>
            <w:tcW w:w="1906" w:type="dxa"/>
            <w:tcBorders/>
            <w:tcMar>
              <w:top w:w="0" w:type="dxa"/>
              <w:left w:w="0" w:type="dxa"/>
              <w:bottom w:w="0" w:type="dxa"/>
              <w:right w:w="0" w:type="dxa"/>
            </w:tcMar>
            <w:vAlign w:val="center"/>
          </w:tcPr>
          <w:p>
            <w:pPr>
              <w:pStyle w:val="TableContents"/>
              <w:bidi w:val="0"/>
              <w:spacing w:before="53" w:after="30"/>
              <w:jc w:val="left"/>
              <w:rPr/>
            </w:pPr>
            <w:r>
              <w:rPr/>
              <w:t> </w:t>
            </w:r>
          </w:p>
        </w:tc>
        <w:tc>
          <w:tcPr>
            <w:tcW w:w="316" w:type="dxa"/>
            <w:tcBorders/>
            <w:tcMar>
              <w:top w:w="0" w:type="dxa"/>
              <w:left w:w="0" w:type="dxa"/>
              <w:bottom w:w="0" w:type="dxa"/>
              <w:right w:w="0" w:type="dxa"/>
            </w:tcMar>
            <w:vAlign w:val="center"/>
          </w:tcPr>
          <w:p>
            <w:pPr>
              <w:pStyle w:val="TableContents"/>
              <w:bidi w:val="0"/>
              <w:spacing w:before="53" w:after="30"/>
              <w:jc w:val="left"/>
              <w:rPr/>
            </w:pPr>
            <w:r>
              <w:rPr/>
              <w:t> </w:t>
            </w:r>
          </w:p>
        </w:tc>
        <w:tc>
          <w:tcPr>
            <w:tcW w:w="23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53" w:after="30"/>
              <w:jc w:val="left"/>
              <w:rPr>
                <w:color w:val="000000"/>
              </w:rPr>
            </w:pPr>
            <w:r>
              <w:rPr>
                <w:color w:val="000000"/>
              </w:rPr>
              <w:t>☐</w:t>
            </w:r>
          </w:p>
        </w:tc>
        <w:tc>
          <w:tcPr>
            <w:tcW w:w="191" w:type="dxa"/>
            <w:tcBorders/>
            <w:tcMar>
              <w:top w:w="0" w:type="dxa"/>
              <w:left w:w="0" w:type="dxa"/>
              <w:bottom w:w="0" w:type="dxa"/>
              <w:right w:w="0" w:type="dxa"/>
            </w:tcMar>
            <w:vAlign w:val="center"/>
          </w:tcPr>
          <w:p>
            <w:pPr>
              <w:pStyle w:val="TableContents"/>
              <w:bidi w:val="0"/>
              <w:spacing w:before="53" w:after="30"/>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0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w:t>
      </w:r>
    </w:p>
    <w:p>
      <w:pPr>
        <w:pStyle w:val="TextBody"/>
        <w:bidi w:val="0"/>
        <w:jc w:val="left"/>
        <w:rPr>
          <w:rFonts w:ascii="Times New Roman" w:hAnsi="Times New Roman"/>
          <w:color w:val="000000"/>
          <w:sz w:val="20"/>
        </w:rPr>
      </w:pPr>
      <w:r>
        <w:rPr>
          <w:rFonts w:ascii="Times New Roman" w:hAnsi="Times New Roman"/>
          <w:color w:val="000000"/>
          <w:sz w:val="20"/>
        </w:rPr>
        <w:t>Yes ☐ No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number of shares of the issuer’s Common Stock, $0.01 par value, outstanding as of July 27, 2026 was 13,398,078.</w:t>
      </w:r>
    </w:p>
    <w:p>
      <w:pPr>
        <w:pStyle w:val="TextBody"/>
        <w:pBdr>
          <w:bottom w:val="double" w:sz="2"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OFS CAPITAL CORPORATION</w:t>
      </w:r>
    </w:p>
    <w:p>
      <w:pPr>
        <w:pStyle w:val="TextBody"/>
        <w:bidi w:val="0"/>
        <w:spacing w:before="30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5"/>
        <w:gridCol w:w="8758"/>
        <w:gridCol w:w="542"/>
      </w:tblGrid>
      <w:tr>
        <w:trPr/>
        <w:tc>
          <w:tcPr>
            <w:tcW w:w="905" w:type="dxa"/>
            <w:tcBorders/>
            <w:vAlign w:val="center"/>
          </w:tcPr>
          <w:p>
            <w:pPr>
              <w:pStyle w:val="TableContents"/>
              <w:bidi w:val="0"/>
              <w:spacing w:before="0" w:after="283"/>
              <w:jc w:val="left"/>
              <w:rPr>
                <w:sz w:val="4"/>
                <w:szCs w:val="4"/>
              </w:rPr>
            </w:pPr>
            <w:r>
              <w:rPr>
                <w:sz w:val="4"/>
                <w:szCs w:val="4"/>
              </w:rPr>
            </w:r>
          </w:p>
        </w:tc>
        <w:tc>
          <w:tcPr>
            <w:tcW w:w="875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663" w:type="dxa"/>
            <w:gridSpan w:val="2"/>
            <w:tcBorders/>
            <w:shd w:fill="CCEEFF" w:val="clear"/>
            <w:tcMar>
              <w:top w:w="0" w:type="dxa"/>
              <w:left w:w="0" w:type="dxa"/>
              <w:bottom w:w="0" w:type="dxa"/>
              <w:right w:w="0" w:type="dxa"/>
            </w:tcMar>
            <w:vAlign w:val="center"/>
          </w:tcPr>
          <w:p>
            <w:pPr>
              <w:pStyle w:val="TableContents"/>
              <w:bidi w:val="0"/>
              <w:spacing w:before="53" w:after="30"/>
              <w:jc w:val="left"/>
              <w:rPr>
                <w:rFonts w:ascii="Times New Roman" w:hAnsi="Times New Roman"/>
                <w:color w:val="0000FF"/>
                <w:sz w:val="20"/>
                <w:u w:val="single"/>
              </w:rPr>
            </w:pPr>
            <w:r>
              <w:rPr>
                <w:rFonts w:ascii="Times New Roman" w:hAnsi="Times New Roman"/>
                <w:color w:val="0000FF"/>
                <w:sz w:val="20"/>
                <w:u w:val="single"/>
              </w:rPr>
              <w:t>PART I. FINANCIAL INFORMATION</w:t>
            </w:r>
          </w:p>
        </w:tc>
        <w:tc>
          <w:tcPr>
            <w:tcW w:w="54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905" w:type="dxa"/>
            <w:tcBorders/>
            <w:tcMar>
              <w:top w:w="0" w:type="dxa"/>
              <w:left w:w="0" w:type="dxa"/>
              <w:bottom w:w="0" w:type="dxa"/>
              <w:right w:w="0" w:type="dxa"/>
            </w:tcMar>
            <w:vAlign w:val="center"/>
          </w:tcPr>
          <w:p>
            <w:pPr>
              <w:pStyle w:val="TableContents"/>
              <w:bidi w:val="0"/>
              <w:spacing w:before="53" w:after="30"/>
              <w:ind w:left="0" w:right="0" w:firstLine="180"/>
              <w:jc w:val="left"/>
              <w:rPr>
                <w:rFonts w:ascii="Times New Roman" w:hAnsi="Times New Roman"/>
                <w:color w:val="000000"/>
                <w:sz w:val="20"/>
              </w:rPr>
            </w:pPr>
            <w:r>
              <w:rPr>
                <w:rFonts w:ascii="Times New Roman" w:hAnsi="Times New Roman"/>
                <w:color w:val="000000"/>
                <w:sz w:val="20"/>
              </w:rPr>
              <w:t>Item 1.</w:t>
            </w:r>
          </w:p>
        </w:tc>
        <w:tc>
          <w:tcPr>
            <w:tcW w:w="8758" w:type="dxa"/>
            <w:tcBorders/>
            <w:tcMar>
              <w:top w:w="0" w:type="dxa"/>
              <w:left w:w="0" w:type="dxa"/>
              <w:bottom w:w="0" w:type="dxa"/>
              <w:right w:w="0" w:type="dxa"/>
            </w:tcMar>
            <w:vAlign w:val="center"/>
          </w:tcPr>
          <w:p>
            <w:pPr>
              <w:pStyle w:val="TableContents"/>
              <w:bidi w:val="0"/>
              <w:spacing w:before="53" w:after="30"/>
              <w:jc w:val="left"/>
              <w:rPr/>
            </w:pPr>
            <w:hyperlink w:anchor="item_1">
              <w:r>
                <w:rPr>
                  <w:rStyle w:val="InternetLink"/>
                  <w:rFonts w:ascii="Times New Roman" w:hAnsi="Times New Roman"/>
                  <w:color w:val="0000FF"/>
                  <w:sz w:val="20"/>
                  <w:u w:val="single"/>
                </w:rPr>
                <w:t>Consolidated Financial Statements</w:t>
              </w:r>
            </w:hyperlink>
          </w:p>
        </w:tc>
        <w:tc>
          <w:tcPr>
            <w:tcW w:w="5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05"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8758" w:type="dxa"/>
            <w:tcBorders/>
            <w:shd w:fill="CCEEFF" w:val="clear"/>
            <w:tcMar>
              <w:top w:w="0" w:type="dxa"/>
              <w:left w:w="0" w:type="dxa"/>
              <w:bottom w:w="0" w:type="dxa"/>
              <w:right w:w="0" w:type="dxa"/>
            </w:tcMar>
            <w:vAlign w:val="center"/>
          </w:tcPr>
          <w:p>
            <w:pPr>
              <w:pStyle w:val="TableContents"/>
              <w:bidi w:val="0"/>
              <w:spacing w:before="53" w:after="30"/>
              <w:ind w:left="0" w:right="0" w:firstLine="180"/>
              <w:jc w:val="left"/>
              <w:rPr/>
            </w:pPr>
            <w:hyperlink w:anchor="assets_and_liabilities">
              <w:r>
                <w:rPr>
                  <w:rStyle w:val="InternetLink"/>
                  <w:rFonts w:ascii="Times New Roman" w:hAnsi="Times New Roman"/>
                  <w:color w:val="0000FF"/>
                  <w:sz w:val="20"/>
                  <w:u w:val="single"/>
                </w:rPr>
                <w:t>Consolidated Statements of Assets and Liabilities as of June 30, 2026 (unaudited) and December 31, 2025</w:t>
              </w:r>
            </w:hyperlink>
          </w:p>
        </w:tc>
        <w:tc>
          <w:tcPr>
            <w:tcW w:w="542" w:type="dxa"/>
            <w:tcBorders/>
            <w:shd w:fill="CCEEFF" w:val="clear"/>
            <w:tcMar>
              <w:top w:w="0" w:type="dxa"/>
              <w:left w:w="0" w:type="dxa"/>
              <w:bottom w:w="0" w:type="dxa"/>
              <w:right w:w="0" w:type="dxa"/>
            </w:tcMar>
            <w:vAlign w:val="center"/>
          </w:tcPr>
          <w:p>
            <w:pPr>
              <w:pStyle w:val="TableContents"/>
              <w:bidi w:val="0"/>
              <w:spacing w:before="53" w:after="30"/>
              <w:jc w:val="right"/>
              <w:rPr>
                <w:rFonts w:ascii="Times New Roman" w:hAnsi="Times New Roman"/>
                <w:color w:val="0000FF"/>
                <w:sz w:val="20"/>
                <w:u w:val="single"/>
              </w:rPr>
            </w:pPr>
            <w:r>
              <w:rPr>
                <w:rFonts w:ascii="Times New Roman" w:hAnsi="Times New Roman"/>
                <w:color w:val="0000FF"/>
                <w:sz w:val="20"/>
                <w:u w:val="single"/>
              </w:rPr>
              <w:t>3</w:t>
            </w:r>
          </w:p>
        </w:tc>
      </w:tr>
      <w:tr>
        <w:trPr/>
        <w:tc>
          <w:tcPr>
            <w:tcW w:w="905"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8758" w:type="dxa"/>
            <w:tcBorders/>
            <w:tcMar>
              <w:top w:w="0" w:type="dxa"/>
              <w:left w:w="0" w:type="dxa"/>
              <w:bottom w:w="0" w:type="dxa"/>
              <w:right w:w="0" w:type="dxa"/>
            </w:tcMar>
            <w:vAlign w:val="center"/>
          </w:tcPr>
          <w:p>
            <w:pPr>
              <w:pStyle w:val="TableContents"/>
              <w:bidi w:val="0"/>
              <w:spacing w:before="53" w:after="30"/>
              <w:ind w:left="0" w:right="0" w:firstLine="180"/>
              <w:jc w:val="left"/>
              <w:rPr/>
            </w:pPr>
            <w:hyperlink w:anchor="consolidated_statements_of_operations">
              <w:r>
                <w:rPr>
                  <w:rStyle w:val="InternetLink"/>
                  <w:rFonts w:ascii="Times New Roman" w:hAnsi="Times New Roman"/>
                  <w:color w:val="0000FF"/>
                  <w:sz w:val="20"/>
                  <w:u w:val="single"/>
                </w:rPr>
                <w:t>Consolidated Statements of Operations for the Three and Six Months Ended June 30, 2026 (unaudited) and 2025 (unaudited)</w:t>
              </w:r>
            </w:hyperlink>
          </w:p>
        </w:tc>
        <w:tc>
          <w:tcPr>
            <w:tcW w:w="542"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FF"/>
                <w:sz w:val="20"/>
                <w:u w:val="single"/>
              </w:rPr>
            </w:pPr>
            <w:r>
              <w:rPr>
                <w:rFonts w:ascii="Times New Roman" w:hAnsi="Times New Roman"/>
                <w:color w:val="0000FF"/>
                <w:sz w:val="20"/>
                <w:u w:val="single"/>
              </w:rPr>
              <w:t>4</w:t>
            </w:r>
          </w:p>
        </w:tc>
      </w:tr>
      <w:tr>
        <w:trPr/>
        <w:tc>
          <w:tcPr>
            <w:tcW w:w="905"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8758" w:type="dxa"/>
            <w:tcBorders/>
            <w:shd w:fill="CCEEFF" w:val="clear"/>
            <w:tcMar>
              <w:top w:w="0" w:type="dxa"/>
              <w:left w:w="0" w:type="dxa"/>
              <w:bottom w:w="0" w:type="dxa"/>
              <w:right w:w="0" w:type="dxa"/>
            </w:tcMar>
            <w:vAlign w:val="center"/>
          </w:tcPr>
          <w:p>
            <w:pPr>
              <w:pStyle w:val="TableContents"/>
              <w:bidi w:val="0"/>
              <w:spacing w:before="53" w:after="30"/>
              <w:ind w:left="0" w:right="0" w:firstLine="180"/>
              <w:jc w:val="left"/>
              <w:rPr/>
            </w:pPr>
            <w:hyperlink w:anchor="statements_of_changes_in_net_assets">
              <w:r>
                <w:rPr>
                  <w:rStyle w:val="InternetLink"/>
                  <w:rFonts w:ascii="Times New Roman" w:hAnsi="Times New Roman"/>
                  <w:color w:val="0000FF"/>
                  <w:sz w:val="20"/>
                  <w:u w:val="single"/>
                </w:rPr>
                <w:t>Consolidated Statements of Changes in Net Assets for the Three and Six Months Ended June 30, 2026 (unaudited) and 2025 (unaudited)</w:t>
              </w:r>
            </w:hyperlink>
          </w:p>
        </w:tc>
        <w:tc>
          <w:tcPr>
            <w:tcW w:w="542" w:type="dxa"/>
            <w:tcBorders/>
            <w:shd w:fill="CCEEFF" w:val="clear"/>
            <w:tcMar>
              <w:top w:w="0" w:type="dxa"/>
              <w:left w:w="0" w:type="dxa"/>
              <w:bottom w:w="0" w:type="dxa"/>
              <w:right w:w="0" w:type="dxa"/>
            </w:tcMar>
            <w:vAlign w:val="center"/>
          </w:tcPr>
          <w:p>
            <w:pPr>
              <w:pStyle w:val="TableContents"/>
              <w:bidi w:val="0"/>
              <w:spacing w:before="53" w:after="30"/>
              <w:jc w:val="right"/>
              <w:rPr>
                <w:rFonts w:ascii="Times New Roman" w:hAnsi="Times New Roman"/>
                <w:color w:val="0000FF"/>
                <w:sz w:val="20"/>
                <w:u w:val="single"/>
              </w:rPr>
            </w:pPr>
            <w:r>
              <w:rPr>
                <w:rFonts w:ascii="Times New Roman" w:hAnsi="Times New Roman"/>
                <w:color w:val="0000FF"/>
                <w:sz w:val="20"/>
                <w:u w:val="single"/>
              </w:rPr>
              <w:t>5</w:t>
            </w:r>
          </w:p>
        </w:tc>
      </w:tr>
      <w:tr>
        <w:trPr/>
        <w:tc>
          <w:tcPr>
            <w:tcW w:w="905"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8758" w:type="dxa"/>
            <w:tcBorders/>
            <w:tcMar>
              <w:top w:w="0" w:type="dxa"/>
              <w:left w:w="0" w:type="dxa"/>
              <w:bottom w:w="0" w:type="dxa"/>
              <w:right w:w="0" w:type="dxa"/>
            </w:tcMar>
            <w:vAlign w:val="center"/>
          </w:tcPr>
          <w:p>
            <w:pPr>
              <w:pStyle w:val="TableContents"/>
              <w:bidi w:val="0"/>
              <w:spacing w:before="53" w:after="30"/>
              <w:ind w:left="0" w:right="0" w:firstLine="180"/>
              <w:jc w:val="left"/>
              <w:rPr/>
            </w:pPr>
            <w:hyperlink w:anchor="cashflow">
              <w:r>
                <w:rPr>
                  <w:rStyle w:val="InternetLink"/>
                  <w:rFonts w:ascii="Times New Roman" w:hAnsi="Times New Roman"/>
                  <w:color w:val="0000FF"/>
                  <w:sz w:val="20"/>
                  <w:u w:val="single"/>
                </w:rPr>
                <w:t>Consolidated Statements of Cash Flows for the Six Months Ended June 30, 2026 (unaudited) and 2025 (unaudited)</w:t>
              </w:r>
            </w:hyperlink>
          </w:p>
        </w:tc>
        <w:tc>
          <w:tcPr>
            <w:tcW w:w="542"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FF"/>
                <w:sz w:val="20"/>
                <w:u w:val="single"/>
              </w:rPr>
            </w:pPr>
            <w:r>
              <w:rPr>
                <w:rFonts w:ascii="Times New Roman" w:hAnsi="Times New Roman"/>
                <w:color w:val="0000FF"/>
                <w:sz w:val="20"/>
                <w:u w:val="single"/>
              </w:rPr>
              <w:t>6</w:t>
            </w:r>
          </w:p>
        </w:tc>
      </w:tr>
      <w:tr>
        <w:trPr/>
        <w:tc>
          <w:tcPr>
            <w:tcW w:w="905"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8758" w:type="dxa"/>
            <w:tcBorders/>
            <w:shd w:fill="CCEEFF" w:val="clear"/>
            <w:tcMar>
              <w:top w:w="0" w:type="dxa"/>
              <w:left w:w="0" w:type="dxa"/>
              <w:bottom w:w="0" w:type="dxa"/>
              <w:right w:w="0" w:type="dxa"/>
            </w:tcMar>
            <w:vAlign w:val="center"/>
          </w:tcPr>
          <w:p>
            <w:pPr>
              <w:pStyle w:val="TableContents"/>
              <w:bidi w:val="0"/>
              <w:spacing w:before="53" w:after="30"/>
              <w:ind w:left="0" w:right="0" w:firstLine="180"/>
              <w:jc w:val="left"/>
              <w:rPr/>
            </w:pPr>
            <w:hyperlink w:anchor="consolidatedscheduleofinvestmentscy">
              <w:r>
                <w:rPr>
                  <w:rStyle w:val="InternetLink"/>
                  <w:rFonts w:ascii="Times New Roman" w:hAnsi="Times New Roman"/>
                  <w:color w:val="0000FF"/>
                  <w:sz w:val="20"/>
                  <w:u w:val="single"/>
                </w:rPr>
                <w:t>Consolidated Schedules of Investments as of June 30, 2026 (unaudited) and December 31, 2025</w:t>
              </w:r>
            </w:hyperlink>
          </w:p>
        </w:tc>
        <w:tc>
          <w:tcPr>
            <w:tcW w:w="542" w:type="dxa"/>
            <w:tcBorders/>
            <w:shd w:fill="CCEEFF" w:val="clear"/>
            <w:tcMar>
              <w:top w:w="0" w:type="dxa"/>
              <w:left w:w="0" w:type="dxa"/>
              <w:bottom w:w="0" w:type="dxa"/>
              <w:right w:w="0" w:type="dxa"/>
            </w:tcMar>
            <w:vAlign w:val="center"/>
          </w:tcPr>
          <w:p>
            <w:pPr>
              <w:pStyle w:val="TableContents"/>
              <w:bidi w:val="0"/>
              <w:spacing w:before="53" w:after="30"/>
              <w:jc w:val="right"/>
              <w:rPr>
                <w:rFonts w:ascii="Times New Roman" w:hAnsi="Times New Roman"/>
                <w:color w:val="0000FF"/>
                <w:sz w:val="20"/>
                <w:u w:val="single"/>
              </w:rPr>
            </w:pPr>
            <w:r>
              <w:rPr>
                <w:rFonts w:ascii="Times New Roman" w:hAnsi="Times New Roman"/>
                <w:color w:val="0000FF"/>
                <w:sz w:val="20"/>
                <w:u w:val="single"/>
              </w:rPr>
              <w:t>7</w:t>
            </w:r>
          </w:p>
        </w:tc>
      </w:tr>
      <w:tr>
        <w:trPr/>
        <w:tc>
          <w:tcPr>
            <w:tcW w:w="9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8" w:type="dxa"/>
            <w:tcBorders/>
            <w:tcMar>
              <w:top w:w="0" w:type="dxa"/>
              <w:left w:w="0" w:type="dxa"/>
              <w:bottom w:w="0" w:type="dxa"/>
              <w:right w:w="0" w:type="dxa"/>
            </w:tcMar>
            <w:vAlign w:val="center"/>
          </w:tcPr>
          <w:p>
            <w:pPr>
              <w:pStyle w:val="TableContents"/>
              <w:bidi w:val="0"/>
              <w:spacing w:before="53" w:after="30"/>
              <w:jc w:val="left"/>
              <w:rPr/>
            </w:pPr>
            <w:hyperlink w:anchor="notes_to_consolidated_financial">
              <w:r>
                <w:rPr>
                  <w:rStyle w:val="InternetLink"/>
                  <w:rFonts w:ascii="Times New Roman" w:hAnsi="Times New Roman"/>
                  <w:color w:val="0000FF"/>
                  <w:sz w:val="20"/>
                  <w:u w:val="single"/>
                </w:rPr>
                <w:t>Notes to Consolidated Financial Statements (unaudited)</w:t>
              </w:r>
            </w:hyperlink>
          </w:p>
        </w:tc>
        <w:tc>
          <w:tcPr>
            <w:tcW w:w="542" w:type="dxa"/>
            <w:tcBorders/>
            <w:tcMar>
              <w:top w:w="0" w:type="dxa"/>
              <w:left w:w="0" w:type="dxa"/>
              <w:bottom w:w="0" w:type="dxa"/>
              <w:right w:w="0" w:type="dxa"/>
            </w:tcMar>
            <w:vAlign w:val="center"/>
          </w:tcPr>
          <w:p>
            <w:pPr>
              <w:pStyle w:val="TableContents"/>
              <w:bidi w:val="0"/>
              <w:spacing w:before="53" w:after="30"/>
              <w:ind w:left="0" w:right="0" w:firstLine="180"/>
              <w:jc w:val="right"/>
              <w:rPr>
                <w:rFonts w:ascii="Times New Roman" w:hAnsi="Times New Roman"/>
                <w:color w:val="0000FF"/>
                <w:sz w:val="20"/>
                <w:u w:val="single"/>
              </w:rPr>
            </w:pPr>
            <w:r>
              <w:rPr>
                <w:rFonts w:ascii="Times New Roman" w:hAnsi="Times New Roman"/>
                <w:color w:val="0000FF"/>
                <w:sz w:val="20"/>
                <w:u w:val="single"/>
              </w:rPr>
              <w:t>24</w:t>
            </w:r>
          </w:p>
        </w:tc>
      </w:tr>
      <w:tr>
        <w:trPr/>
        <w:tc>
          <w:tcPr>
            <w:tcW w:w="905" w:type="dxa"/>
            <w:tcBorders/>
            <w:shd w:fill="CCEEFF" w:val="clear"/>
            <w:tcMar>
              <w:top w:w="0" w:type="dxa"/>
              <w:left w:w="0" w:type="dxa"/>
              <w:bottom w:w="0" w:type="dxa"/>
              <w:right w:w="0" w:type="dxa"/>
            </w:tcMar>
            <w:vAlign w:val="center"/>
          </w:tcPr>
          <w:p>
            <w:pPr>
              <w:pStyle w:val="TableContents"/>
              <w:bidi w:val="0"/>
              <w:spacing w:before="53" w:after="30"/>
              <w:ind w:left="0" w:right="0" w:firstLine="180"/>
              <w:jc w:val="left"/>
              <w:rPr>
                <w:rFonts w:ascii="Times New Roman" w:hAnsi="Times New Roman"/>
                <w:color w:val="000000"/>
                <w:sz w:val="20"/>
              </w:rPr>
            </w:pPr>
            <w:r>
              <w:rPr>
                <w:rFonts w:ascii="Times New Roman" w:hAnsi="Times New Roman"/>
                <w:color w:val="000000"/>
                <w:sz w:val="20"/>
              </w:rPr>
              <w:t>Item 2.</w:t>
            </w:r>
          </w:p>
        </w:tc>
        <w:tc>
          <w:tcPr>
            <w:tcW w:w="8758" w:type="dxa"/>
            <w:tcBorders/>
            <w:shd w:fill="CCEEFF" w:val="clear"/>
            <w:tcMar>
              <w:top w:w="0" w:type="dxa"/>
              <w:left w:w="0" w:type="dxa"/>
              <w:bottom w:w="0" w:type="dxa"/>
              <w:right w:w="0" w:type="dxa"/>
            </w:tcMar>
            <w:vAlign w:val="center"/>
          </w:tcPr>
          <w:p>
            <w:pPr>
              <w:pStyle w:val="TableContents"/>
              <w:bidi w:val="0"/>
              <w:spacing w:before="53" w:after="30"/>
              <w:jc w:val="left"/>
              <w:rPr/>
            </w:pPr>
            <w:hyperlink w:anchor="item_2">
              <w:r>
                <w:rPr>
                  <w:rStyle w:val="InternetLink"/>
                  <w:rFonts w:ascii="Times New Roman" w:hAnsi="Times New Roman"/>
                  <w:color w:val="0000FF"/>
                  <w:sz w:val="20"/>
                  <w:u w:val="single"/>
                </w:rPr>
                <w:t>Management’s Discussion and Analysis of Financial Condition and Results of Operations</w:t>
              </w:r>
            </w:hyperlink>
          </w:p>
        </w:tc>
        <w:tc>
          <w:tcPr>
            <w:tcW w:w="542" w:type="dxa"/>
            <w:tcBorders/>
            <w:shd w:fill="CCEEFF" w:val="clear"/>
            <w:tcMar>
              <w:top w:w="0" w:type="dxa"/>
              <w:left w:w="0" w:type="dxa"/>
              <w:bottom w:w="0" w:type="dxa"/>
              <w:right w:w="0" w:type="dxa"/>
            </w:tcMar>
            <w:vAlign w:val="center"/>
          </w:tcPr>
          <w:p>
            <w:pPr>
              <w:pStyle w:val="TableContents"/>
              <w:bidi w:val="0"/>
              <w:spacing w:before="53" w:after="30"/>
              <w:ind w:left="0" w:right="0" w:firstLine="180"/>
              <w:jc w:val="right"/>
              <w:rPr>
                <w:rFonts w:ascii="Times New Roman" w:hAnsi="Times New Roman"/>
                <w:color w:val="0000FF"/>
                <w:sz w:val="20"/>
                <w:u w:val="single"/>
              </w:rPr>
            </w:pPr>
            <w:r>
              <w:rPr>
                <w:rFonts w:ascii="Times New Roman" w:hAnsi="Times New Roman"/>
                <w:color w:val="0000FF"/>
                <w:sz w:val="20"/>
                <w:u w:val="single"/>
              </w:rPr>
              <w:t>43</w:t>
            </w:r>
          </w:p>
        </w:tc>
      </w:tr>
      <w:tr>
        <w:trPr/>
        <w:tc>
          <w:tcPr>
            <w:tcW w:w="905" w:type="dxa"/>
            <w:tcBorders/>
            <w:tcMar>
              <w:top w:w="0" w:type="dxa"/>
              <w:left w:w="0" w:type="dxa"/>
              <w:bottom w:w="0" w:type="dxa"/>
              <w:right w:w="0" w:type="dxa"/>
            </w:tcMar>
            <w:vAlign w:val="center"/>
          </w:tcPr>
          <w:p>
            <w:pPr>
              <w:pStyle w:val="TableContents"/>
              <w:bidi w:val="0"/>
              <w:spacing w:before="53" w:after="30"/>
              <w:ind w:left="0" w:right="0" w:firstLine="180"/>
              <w:jc w:val="left"/>
              <w:rPr>
                <w:rFonts w:ascii="Times New Roman" w:hAnsi="Times New Roman"/>
                <w:color w:val="000000"/>
                <w:sz w:val="20"/>
              </w:rPr>
            </w:pPr>
            <w:r>
              <w:rPr>
                <w:rFonts w:ascii="Times New Roman" w:hAnsi="Times New Roman"/>
                <w:color w:val="000000"/>
                <w:sz w:val="20"/>
              </w:rPr>
              <w:t>Item 3.</w:t>
            </w:r>
          </w:p>
        </w:tc>
        <w:tc>
          <w:tcPr>
            <w:tcW w:w="8758" w:type="dxa"/>
            <w:tcBorders/>
            <w:tcMar>
              <w:top w:w="0" w:type="dxa"/>
              <w:left w:w="0" w:type="dxa"/>
              <w:bottom w:w="0" w:type="dxa"/>
              <w:right w:w="0" w:type="dxa"/>
            </w:tcMar>
            <w:vAlign w:val="center"/>
          </w:tcPr>
          <w:p>
            <w:pPr>
              <w:pStyle w:val="TableContents"/>
              <w:bidi w:val="0"/>
              <w:spacing w:before="53" w:after="30"/>
              <w:jc w:val="left"/>
              <w:rPr/>
            </w:pPr>
            <w:hyperlink w:anchor="item_3">
              <w:r>
                <w:rPr>
                  <w:rStyle w:val="InternetLink"/>
                  <w:rFonts w:ascii="Times New Roman" w:hAnsi="Times New Roman"/>
                  <w:color w:val="0000FF"/>
                  <w:sz w:val="20"/>
                  <w:u w:val="single"/>
                </w:rPr>
                <w:t>Quantitative and Qualitative Disclosures About Market Risk</w:t>
              </w:r>
            </w:hyperlink>
          </w:p>
        </w:tc>
        <w:tc>
          <w:tcPr>
            <w:tcW w:w="542" w:type="dxa"/>
            <w:tcBorders/>
            <w:tcMar>
              <w:top w:w="0" w:type="dxa"/>
              <w:left w:w="0" w:type="dxa"/>
              <w:bottom w:w="0" w:type="dxa"/>
              <w:right w:w="0" w:type="dxa"/>
            </w:tcMar>
            <w:vAlign w:val="center"/>
          </w:tcPr>
          <w:p>
            <w:pPr>
              <w:pStyle w:val="TableContents"/>
              <w:bidi w:val="0"/>
              <w:spacing w:before="53" w:after="30"/>
              <w:ind w:left="0" w:right="0" w:firstLine="180"/>
              <w:jc w:val="right"/>
              <w:rPr>
                <w:rFonts w:ascii="Times New Roman" w:hAnsi="Times New Roman"/>
                <w:color w:val="0000FF"/>
                <w:sz w:val="20"/>
                <w:u w:val="single"/>
              </w:rPr>
            </w:pPr>
            <w:r>
              <w:rPr>
                <w:rFonts w:ascii="Times New Roman" w:hAnsi="Times New Roman"/>
                <w:color w:val="0000FF"/>
                <w:sz w:val="20"/>
                <w:u w:val="single"/>
              </w:rPr>
              <w:t>58</w:t>
            </w:r>
          </w:p>
        </w:tc>
      </w:tr>
      <w:tr>
        <w:trPr/>
        <w:tc>
          <w:tcPr>
            <w:tcW w:w="905" w:type="dxa"/>
            <w:tcBorders/>
            <w:shd w:fill="CCEEFF" w:val="clear"/>
            <w:tcMar>
              <w:top w:w="0" w:type="dxa"/>
              <w:left w:w="0" w:type="dxa"/>
              <w:bottom w:w="0" w:type="dxa"/>
              <w:right w:w="0" w:type="dxa"/>
            </w:tcMar>
            <w:vAlign w:val="center"/>
          </w:tcPr>
          <w:p>
            <w:pPr>
              <w:pStyle w:val="TableContents"/>
              <w:bidi w:val="0"/>
              <w:spacing w:before="53" w:after="30"/>
              <w:ind w:left="0" w:right="0" w:firstLine="180"/>
              <w:jc w:val="left"/>
              <w:rPr>
                <w:rFonts w:ascii="Times New Roman" w:hAnsi="Times New Roman"/>
                <w:color w:val="000000"/>
                <w:sz w:val="20"/>
              </w:rPr>
            </w:pPr>
            <w:r>
              <w:rPr>
                <w:rFonts w:ascii="Times New Roman" w:hAnsi="Times New Roman"/>
                <w:color w:val="000000"/>
                <w:sz w:val="20"/>
              </w:rPr>
              <w:t>Item 4.</w:t>
            </w:r>
          </w:p>
        </w:tc>
        <w:tc>
          <w:tcPr>
            <w:tcW w:w="8758" w:type="dxa"/>
            <w:tcBorders/>
            <w:shd w:fill="CCEEFF" w:val="clear"/>
            <w:tcMar>
              <w:top w:w="0" w:type="dxa"/>
              <w:left w:w="0" w:type="dxa"/>
              <w:bottom w:w="0" w:type="dxa"/>
              <w:right w:w="0" w:type="dxa"/>
            </w:tcMar>
            <w:vAlign w:val="center"/>
          </w:tcPr>
          <w:p>
            <w:pPr>
              <w:pStyle w:val="TableContents"/>
              <w:bidi w:val="0"/>
              <w:spacing w:before="53" w:after="30"/>
              <w:jc w:val="left"/>
              <w:rPr/>
            </w:pPr>
            <w:hyperlink w:anchor="item_4">
              <w:r>
                <w:rPr>
                  <w:rStyle w:val="InternetLink"/>
                  <w:rFonts w:ascii="Times New Roman" w:hAnsi="Times New Roman"/>
                  <w:color w:val="0000FF"/>
                  <w:sz w:val="20"/>
                  <w:u w:val="single"/>
                </w:rPr>
                <w:t>Controls and Procedures</w:t>
              </w:r>
            </w:hyperlink>
          </w:p>
        </w:tc>
        <w:tc>
          <w:tcPr>
            <w:tcW w:w="542" w:type="dxa"/>
            <w:tcBorders/>
            <w:shd w:fill="CCEEFF" w:val="clear"/>
            <w:tcMar>
              <w:top w:w="0" w:type="dxa"/>
              <w:left w:w="0" w:type="dxa"/>
              <w:bottom w:w="0" w:type="dxa"/>
              <w:right w:w="0" w:type="dxa"/>
            </w:tcMar>
            <w:vAlign w:val="center"/>
          </w:tcPr>
          <w:p>
            <w:pPr>
              <w:pStyle w:val="TableContents"/>
              <w:bidi w:val="0"/>
              <w:spacing w:before="53" w:after="30"/>
              <w:jc w:val="right"/>
              <w:rPr>
                <w:rFonts w:ascii="Times New Roman" w:hAnsi="Times New Roman"/>
                <w:color w:val="0000FF"/>
                <w:sz w:val="20"/>
                <w:u w:val="single"/>
              </w:rPr>
            </w:pPr>
            <w:r>
              <w:rPr>
                <w:rFonts w:ascii="Times New Roman" w:hAnsi="Times New Roman"/>
                <w:color w:val="0000FF"/>
                <w:sz w:val="20"/>
                <w:u w:val="single"/>
              </w:rPr>
              <w:t>59</w:t>
            </w:r>
          </w:p>
        </w:tc>
      </w:tr>
      <w:tr>
        <w:trPr/>
        <w:tc>
          <w:tcPr>
            <w:tcW w:w="9663"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63" w:type="dxa"/>
            <w:gridSpan w:val="2"/>
            <w:tcBorders/>
            <w:shd w:fill="CCEEFF" w:val="clear"/>
            <w:tcMar>
              <w:top w:w="0" w:type="dxa"/>
              <w:left w:w="0" w:type="dxa"/>
              <w:bottom w:w="0" w:type="dxa"/>
              <w:right w:w="0" w:type="dxa"/>
            </w:tcMar>
            <w:vAlign w:val="center"/>
          </w:tcPr>
          <w:p>
            <w:pPr>
              <w:pStyle w:val="TableContents"/>
              <w:bidi w:val="0"/>
              <w:spacing w:before="53" w:after="30"/>
              <w:jc w:val="left"/>
              <w:rPr/>
            </w:pPr>
            <w:hyperlink w:anchor="partii">
              <w:r>
                <w:rPr>
                  <w:rStyle w:val="InternetLink"/>
                  <w:rFonts w:ascii="Times New Roman" w:hAnsi="Times New Roman"/>
                  <w:color w:val="0000FF"/>
                  <w:sz w:val="20"/>
                  <w:u w:val="single"/>
                </w:rPr>
                <w:t>PART II. OTHER INFORMATION</w:t>
              </w:r>
            </w:hyperlink>
          </w:p>
        </w:tc>
        <w:tc>
          <w:tcPr>
            <w:tcW w:w="542" w:type="dxa"/>
            <w:tcBorders/>
            <w:shd w:fill="CCEEFF" w:val="clear"/>
            <w:tcMar>
              <w:top w:w="0" w:type="dxa"/>
              <w:left w:w="0" w:type="dxa"/>
              <w:bottom w:w="0" w:type="dxa"/>
              <w:right w:w="0" w:type="dxa"/>
            </w:tcMar>
            <w:vAlign w:val="center"/>
          </w:tcPr>
          <w:p>
            <w:pPr>
              <w:pStyle w:val="TableContents"/>
              <w:bidi w:val="0"/>
              <w:spacing w:before="53" w:after="30"/>
              <w:ind w:left="0" w:right="0" w:firstLine="180"/>
              <w:jc w:val="right"/>
              <w:rPr>
                <w:rFonts w:ascii="Times New Roman" w:hAnsi="Times New Roman"/>
                <w:color w:val="0000FF"/>
                <w:sz w:val="20"/>
                <w:u w:val="single"/>
              </w:rPr>
            </w:pPr>
            <w:r>
              <w:rPr>
                <w:rFonts w:ascii="Times New Roman" w:hAnsi="Times New Roman"/>
                <w:color w:val="0000FF"/>
                <w:sz w:val="20"/>
                <w:u w:val="single"/>
              </w:rPr>
              <w:t>60</w:t>
            </w:r>
          </w:p>
        </w:tc>
      </w:tr>
      <w:tr>
        <w:trPr/>
        <w:tc>
          <w:tcPr>
            <w:tcW w:w="905" w:type="dxa"/>
            <w:tcBorders/>
            <w:tcMar>
              <w:top w:w="0" w:type="dxa"/>
              <w:left w:w="0" w:type="dxa"/>
              <w:bottom w:w="0" w:type="dxa"/>
              <w:right w:w="0" w:type="dxa"/>
            </w:tcMar>
            <w:vAlign w:val="center"/>
          </w:tcPr>
          <w:p>
            <w:pPr>
              <w:pStyle w:val="TableContents"/>
              <w:bidi w:val="0"/>
              <w:spacing w:before="53" w:after="30"/>
              <w:ind w:left="0" w:right="0" w:firstLine="180"/>
              <w:jc w:val="left"/>
              <w:rPr>
                <w:rFonts w:ascii="Times New Roman" w:hAnsi="Times New Roman"/>
                <w:color w:val="000000"/>
                <w:sz w:val="20"/>
              </w:rPr>
            </w:pPr>
            <w:r>
              <w:rPr>
                <w:rFonts w:ascii="Times New Roman" w:hAnsi="Times New Roman"/>
                <w:color w:val="000000"/>
                <w:sz w:val="20"/>
              </w:rPr>
              <w:t>Item 1.</w:t>
            </w:r>
          </w:p>
        </w:tc>
        <w:tc>
          <w:tcPr>
            <w:tcW w:w="8758" w:type="dxa"/>
            <w:tcBorders/>
            <w:tcMar>
              <w:top w:w="0" w:type="dxa"/>
              <w:left w:w="0" w:type="dxa"/>
              <w:bottom w:w="0" w:type="dxa"/>
              <w:right w:w="0" w:type="dxa"/>
            </w:tcMar>
            <w:vAlign w:val="center"/>
          </w:tcPr>
          <w:p>
            <w:pPr>
              <w:pStyle w:val="TableContents"/>
              <w:bidi w:val="0"/>
              <w:spacing w:before="53" w:after="30"/>
              <w:jc w:val="left"/>
              <w:rPr/>
            </w:pPr>
            <w:hyperlink w:anchor="partii_1">
              <w:r>
                <w:rPr>
                  <w:rStyle w:val="InternetLink"/>
                  <w:rFonts w:ascii="Times New Roman" w:hAnsi="Times New Roman"/>
                  <w:color w:val="0000FF"/>
                  <w:sz w:val="20"/>
                  <w:u w:val="single"/>
                </w:rPr>
                <w:t>Legal Proceedings</w:t>
              </w:r>
            </w:hyperlink>
          </w:p>
        </w:tc>
        <w:tc>
          <w:tcPr>
            <w:tcW w:w="542" w:type="dxa"/>
            <w:tcBorders/>
            <w:tcMar>
              <w:top w:w="0" w:type="dxa"/>
              <w:left w:w="0" w:type="dxa"/>
              <w:bottom w:w="0" w:type="dxa"/>
              <w:right w:w="0" w:type="dxa"/>
            </w:tcMar>
            <w:vAlign w:val="center"/>
          </w:tcPr>
          <w:p>
            <w:pPr>
              <w:pStyle w:val="TableContents"/>
              <w:bidi w:val="0"/>
              <w:spacing w:before="53" w:after="30"/>
              <w:ind w:left="0" w:right="0" w:firstLine="180"/>
              <w:jc w:val="right"/>
              <w:rPr>
                <w:rFonts w:ascii="Times New Roman" w:hAnsi="Times New Roman"/>
                <w:color w:val="0000FF"/>
                <w:sz w:val="20"/>
                <w:u w:val="single"/>
              </w:rPr>
            </w:pPr>
            <w:r>
              <w:rPr>
                <w:rFonts w:ascii="Times New Roman" w:hAnsi="Times New Roman"/>
                <w:color w:val="0000FF"/>
                <w:sz w:val="20"/>
                <w:u w:val="single"/>
              </w:rPr>
              <w:t>60</w:t>
            </w:r>
          </w:p>
        </w:tc>
      </w:tr>
      <w:tr>
        <w:trPr/>
        <w:tc>
          <w:tcPr>
            <w:tcW w:w="905" w:type="dxa"/>
            <w:tcBorders/>
            <w:shd w:fill="CCEEFF" w:val="clear"/>
            <w:tcMar>
              <w:top w:w="0" w:type="dxa"/>
              <w:left w:w="0" w:type="dxa"/>
              <w:bottom w:w="0" w:type="dxa"/>
              <w:right w:w="0" w:type="dxa"/>
            </w:tcMar>
            <w:vAlign w:val="center"/>
          </w:tcPr>
          <w:p>
            <w:pPr>
              <w:pStyle w:val="TableContents"/>
              <w:bidi w:val="0"/>
              <w:spacing w:before="53" w:after="30"/>
              <w:ind w:left="0" w:right="0" w:firstLine="180"/>
              <w:jc w:val="left"/>
              <w:rPr>
                <w:rFonts w:ascii="Times New Roman" w:hAnsi="Times New Roman"/>
                <w:color w:val="000000"/>
                <w:sz w:val="20"/>
              </w:rPr>
            </w:pPr>
            <w:r>
              <w:rPr>
                <w:rFonts w:ascii="Times New Roman" w:hAnsi="Times New Roman"/>
                <w:color w:val="000000"/>
                <w:sz w:val="20"/>
              </w:rPr>
              <w:t>Item 1A.</w:t>
            </w:r>
          </w:p>
        </w:tc>
        <w:tc>
          <w:tcPr>
            <w:tcW w:w="8758" w:type="dxa"/>
            <w:tcBorders/>
            <w:shd w:fill="CCEEFF" w:val="clear"/>
            <w:tcMar>
              <w:top w:w="0" w:type="dxa"/>
              <w:left w:w="0" w:type="dxa"/>
              <w:bottom w:w="0" w:type="dxa"/>
              <w:right w:w="0" w:type="dxa"/>
            </w:tcMar>
            <w:vAlign w:val="center"/>
          </w:tcPr>
          <w:p>
            <w:pPr>
              <w:pStyle w:val="TableContents"/>
              <w:bidi w:val="0"/>
              <w:spacing w:before="53" w:after="30"/>
              <w:jc w:val="left"/>
              <w:rPr/>
            </w:pPr>
            <w:hyperlink w:anchor="partii_1a">
              <w:r>
                <w:rPr>
                  <w:rStyle w:val="InternetLink"/>
                  <w:rFonts w:ascii="Times New Roman" w:hAnsi="Times New Roman"/>
                  <w:color w:val="0000FF"/>
                  <w:sz w:val="20"/>
                  <w:u w:val="single"/>
                </w:rPr>
                <w:t>Risk Factors</w:t>
              </w:r>
            </w:hyperlink>
          </w:p>
        </w:tc>
        <w:tc>
          <w:tcPr>
            <w:tcW w:w="542" w:type="dxa"/>
            <w:tcBorders/>
            <w:shd w:fill="CCEEFF" w:val="clear"/>
            <w:tcMar>
              <w:top w:w="0" w:type="dxa"/>
              <w:left w:w="0" w:type="dxa"/>
              <w:bottom w:w="0" w:type="dxa"/>
              <w:right w:w="0" w:type="dxa"/>
            </w:tcMar>
            <w:vAlign w:val="center"/>
          </w:tcPr>
          <w:p>
            <w:pPr>
              <w:pStyle w:val="TableContents"/>
              <w:bidi w:val="0"/>
              <w:spacing w:before="53" w:after="30"/>
              <w:ind w:left="0" w:right="0" w:firstLine="180"/>
              <w:jc w:val="right"/>
              <w:rPr>
                <w:rFonts w:ascii="Times New Roman" w:hAnsi="Times New Roman"/>
                <w:color w:val="0000FF"/>
                <w:sz w:val="20"/>
                <w:u w:val="single"/>
              </w:rPr>
            </w:pPr>
            <w:r>
              <w:rPr>
                <w:rFonts w:ascii="Times New Roman" w:hAnsi="Times New Roman"/>
                <w:color w:val="0000FF"/>
                <w:sz w:val="20"/>
                <w:u w:val="single"/>
              </w:rPr>
              <w:t>60</w:t>
            </w:r>
          </w:p>
        </w:tc>
      </w:tr>
      <w:tr>
        <w:trPr/>
        <w:tc>
          <w:tcPr>
            <w:tcW w:w="905" w:type="dxa"/>
            <w:tcBorders/>
            <w:tcMar>
              <w:top w:w="0" w:type="dxa"/>
              <w:left w:w="0" w:type="dxa"/>
              <w:bottom w:w="0" w:type="dxa"/>
              <w:right w:w="0" w:type="dxa"/>
            </w:tcMar>
            <w:vAlign w:val="center"/>
          </w:tcPr>
          <w:p>
            <w:pPr>
              <w:pStyle w:val="TableContents"/>
              <w:bidi w:val="0"/>
              <w:spacing w:before="53" w:after="30"/>
              <w:ind w:left="0" w:right="0" w:firstLine="180"/>
              <w:jc w:val="left"/>
              <w:rPr>
                <w:rFonts w:ascii="Times New Roman" w:hAnsi="Times New Roman"/>
                <w:color w:val="000000"/>
                <w:sz w:val="20"/>
              </w:rPr>
            </w:pPr>
            <w:r>
              <w:rPr>
                <w:rFonts w:ascii="Times New Roman" w:hAnsi="Times New Roman"/>
                <w:color w:val="000000"/>
                <w:sz w:val="20"/>
              </w:rPr>
              <w:t>Item 2.</w:t>
            </w:r>
          </w:p>
        </w:tc>
        <w:tc>
          <w:tcPr>
            <w:tcW w:w="8758" w:type="dxa"/>
            <w:tcBorders/>
            <w:tcMar>
              <w:top w:w="0" w:type="dxa"/>
              <w:left w:w="0" w:type="dxa"/>
              <w:bottom w:w="0" w:type="dxa"/>
              <w:right w:w="0" w:type="dxa"/>
            </w:tcMar>
            <w:vAlign w:val="center"/>
          </w:tcPr>
          <w:p>
            <w:pPr>
              <w:pStyle w:val="TableContents"/>
              <w:bidi w:val="0"/>
              <w:spacing w:before="53" w:after="30"/>
              <w:jc w:val="left"/>
              <w:rPr/>
            </w:pPr>
            <w:hyperlink w:anchor="partii_2">
              <w:r>
                <w:rPr>
                  <w:rStyle w:val="InternetLink"/>
                  <w:rFonts w:ascii="Times New Roman" w:hAnsi="Times New Roman"/>
                  <w:color w:val="0000FF"/>
                  <w:sz w:val="20"/>
                  <w:u w:val="single"/>
                </w:rPr>
                <w:t>Unregistered Sales of Equity Securities and Use of Proceeds</w:t>
              </w:r>
            </w:hyperlink>
          </w:p>
        </w:tc>
        <w:tc>
          <w:tcPr>
            <w:tcW w:w="542" w:type="dxa"/>
            <w:tcBorders/>
            <w:tcMar>
              <w:top w:w="0" w:type="dxa"/>
              <w:left w:w="0" w:type="dxa"/>
              <w:bottom w:w="0" w:type="dxa"/>
              <w:right w:w="0" w:type="dxa"/>
            </w:tcMar>
            <w:vAlign w:val="center"/>
          </w:tcPr>
          <w:p>
            <w:pPr>
              <w:pStyle w:val="TableContents"/>
              <w:bidi w:val="0"/>
              <w:spacing w:before="53" w:after="30"/>
              <w:ind w:left="0" w:right="0" w:firstLine="180"/>
              <w:jc w:val="right"/>
              <w:rPr>
                <w:rFonts w:ascii="Times New Roman" w:hAnsi="Times New Roman"/>
                <w:color w:val="0000FF"/>
                <w:sz w:val="20"/>
                <w:u w:val="single"/>
              </w:rPr>
            </w:pPr>
            <w:r>
              <w:rPr>
                <w:rFonts w:ascii="Times New Roman" w:hAnsi="Times New Roman"/>
                <w:color w:val="0000FF"/>
                <w:sz w:val="20"/>
                <w:u w:val="single"/>
              </w:rPr>
              <w:t>60</w:t>
            </w:r>
          </w:p>
        </w:tc>
      </w:tr>
      <w:tr>
        <w:trPr/>
        <w:tc>
          <w:tcPr>
            <w:tcW w:w="905" w:type="dxa"/>
            <w:tcBorders/>
            <w:shd w:fill="CCEEFF" w:val="clear"/>
            <w:tcMar>
              <w:top w:w="0" w:type="dxa"/>
              <w:left w:w="0" w:type="dxa"/>
              <w:bottom w:w="0" w:type="dxa"/>
              <w:right w:w="0" w:type="dxa"/>
            </w:tcMar>
            <w:vAlign w:val="center"/>
          </w:tcPr>
          <w:p>
            <w:pPr>
              <w:pStyle w:val="TableContents"/>
              <w:bidi w:val="0"/>
              <w:spacing w:before="53" w:after="30"/>
              <w:ind w:left="0" w:right="0" w:firstLine="180"/>
              <w:jc w:val="left"/>
              <w:rPr>
                <w:rFonts w:ascii="Times New Roman" w:hAnsi="Times New Roman"/>
                <w:color w:val="000000"/>
                <w:sz w:val="20"/>
              </w:rPr>
            </w:pPr>
            <w:r>
              <w:rPr>
                <w:rFonts w:ascii="Times New Roman" w:hAnsi="Times New Roman"/>
                <w:color w:val="000000"/>
                <w:sz w:val="20"/>
              </w:rPr>
              <w:t>Item 3.</w:t>
            </w:r>
          </w:p>
        </w:tc>
        <w:tc>
          <w:tcPr>
            <w:tcW w:w="8758" w:type="dxa"/>
            <w:tcBorders/>
            <w:shd w:fill="CCEEFF" w:val="clear"/>
            <w:tcMar>
              <w:top w:w="0" w:type="dxa"/>
              <w:left w:w="0" w:type="dxa"/>
              <w:bottom w:w="0" w:type="dxa"/>
              <w:right w:w="0" w:type="dxa"/>
            </w:tcMar>
            <w:vAlign w:val="center"/>
          </w:tcPr>
          <w:p>
            <w:pPr>
              <w:pStyle w:val="TableContents"/>
              <w:bidi w:val="0"/>
              <w:spacing w:before="53" w:after="30"/>
              <w:jc w:val="left"/>
              <w:rPr/>
            </w:pPr>
            <w:hyperlink w:anchor="partii_3">
              <w:r>
                <w:rPr>
                  <w:rStyle w:val="InternetLink"/>
                  <w:rFonts w:ascii="Times New Roman" w:hAnsi="Times New Roman"/>
                  <w:color w:val="0000FF"/>
                  <w:sz w:val="20"/>
                  <w:u w:val="single"/>
                </w:rPr>
                <w:t>Defaults Upon Senior Securities</w:t>
              </w:r>
            </w:hyperlink>
          </w:p>
        </w:tc>
        <w:tc>
          <w:tcPr>
            <w:tcW w:w="542" w:type="dxa"/>
            <w:tcBorders/>
            <w:shd w:fill="CCEEFF" w:val="clear"/>
            <w:tcMar>
              <w:top w:w="0" w:type="dxa"/>
              <w:left w:w="0" w:type="dxa"/>
              <w:bottom w:w="0" w:type="dxa"/>
              <w:right w:w="0" w:type="dxa"/>
            </w:tcMar>
            <w:vAlign w:val="center"/>
          </w:tcPr>
          <w:p>
            <w:pPr>
              <w:pStyle w:val="TableContents"/>
              <w:bidi w:val="0"/>
              <w:spacing w:before="53" w:after="30"/>
              <w:ind w:left="0" w:right="0" w:firstLine="180"/>
              <w:jc w:val="right"/>
              <w:rPr>
                <w:rFonts w:ascii="Times New Roman" w:hAnsi="Times New Roman"/>
                <w:color w:val="0000FF"/>
                <w:sz w:val="20"/>
                <w:u w:val="single"/>
              </w:rPr>
            </w:pPr>
            <w:r>
              <w:rPr>
                <w:rFonts w:ascii="Times New Roman" w:hAnsi="Times New Roman"/>
                <w:color w:val="0000FF"/>
                <w:sz w:val="20"/>
                <w:u w:val="single"/>
              </w:rPr>
              <w:t>60</w:t>
            </w:r>
          </w:p>
        </w:tc>
      </w:tr>
      <w:tr>
        <w:trPr/>
        <w:tc>
          <w:tcPr>
            <w:tcW w:w="905" w:type="dxa"/>
            <w:tcBorders/>
            <w:tcMar>
              <w:top w:w="0" w:type="dxa"/>
              <w:left w:w="0" w:type="dxa"/>
              <w:bottom w:w="0" w:type="dxa"/>
              <w:right w:w="0" w:type="dxa"/>
            </w:tcMar>
            <w:vAlign w:val="center"/>
          </w:tcPr>
          <w:p>
            <w:pPr>
              <w:pStyle w:val="TableContents"/>
              <w:bidi w:val="0"/>
              <w:spacing w:before="53" w:after="30"/>
              <w:ind w:left="0" w:right="0" w:firstLine="180"/>
              <w:jc w:val="left"/>
              <w:rPr>
                <w:rFonts w:ascii="Times New Roman" w:hAnsi="Times New Roman"/>
                <w:color w:val="000000"/>
                <w:sz w:val="20"/>
              </w:rPr>
            </w:pPr>
            <w:r>
              <w:rPr>
                <w:rFonts w:ascii="Times New Roman" w:hAnsi="Times New Roman"/>
                <w:color w:val="000000"/>
                <w:sz w:val="20"/>
              </w:rPr>
              <w:t>Item 4.</w:t>
            </w:r>
          </w:p>
        </w:tc>
        <w:tc>
          <w:tcPr>
            <w:tcW w:w="8758" w:type="dxa"/>
            <w:tcBorders/>
            <w:tcMar>
              <w:top w:w="0" w:type="dxa"/>
              <w:left w:w="0" w:type="dxa"/>
              <w:bottom w:w="0" w:type="dxa"/>
              <w:right w:w="0" w:type="dxa"/>
            </w:tcMar>
            <w:vAlign w:val="center"/>
          </w:tcPr>
          <w:p>
            <w:pPr>
              <w:pStyle w:val="TableContents"/>
              <w:bidi w:val="0"/>
              <w:spacing w:before="53" w:after="30"/>
              <w:jc w:val="left"/>
              <w:rPr/>
            </w:pPr>
            <w:hyperlink w:anchor="partii_4">
              <w:r>
                <w:rPr>
                  <w:rStyle w:val="InternetLink"/>
                  <w:rFonts w:ascii="Times New Roman" w:hAnsi="Times New Roman"/>
                  <w:color w:val="0000FF"/>
                  <w:sz w:val="20"/>
                  <w:u w:val="single"/>
                </w:rPr>
                <w:t>Mine Safety Disclosures</w:t>
              </w:r>
            </w:hyperlink>
          </w:p>
        </w:tc>
        <w:tc>
          <w:tcPr>
            <w:tcW w:w="542" w:type="dxa"/>
            <w:tcBorders/>
            <w:tcMar>
              <w:top w:w="0" w:type="dxa"/>
              <w:left w:w="0" w:type="dxa"/>
              <w:bottom w:w="0" w:type="dxa"/>
              <w:right w:w="0" w:type="dxa"/>
            </w:tcMar>
            <w:vAlign w:val="center"/>
          </w:tcPr>
          <w:p>
            <w:pPr>
              <w:pStyle w:val="TableContents"/>
              <w:bidi w:val="0"/>
              <w:spacing w:before="53" w:after="30"/>
              <w:ind w:left="0" w:right="0" w:firstLine="180"/>
              <w:jc w:val="right"/>
              <w:rPr>
                <w:rFonts w:ascii="Times New Roman" w:hAnsi="Times New Roman"/>
                <w:color w:val="0000FF"/>
                <w:sz w:val="20"/>
                <w:u w:val="single"/>
              </w:rPr>
            </w:pPr>
            <w:r>
              <w:rPr>
                <w:rFonts w:ascii="Times New Roman" w:hAnsi="Times New Roman"/>
                <w:color w:val="0000FF"/>
                <w:sz w:val="20"/>
                <w:u w:val="single"/>
              </w:rPr>
              <w:t>60</w:t>
            </w:r>
          </w:p>
        </w:tc>
      </w:tr>
      <w:tr>
        <w:trPr/>
        <w:tc>
          <w:tcPr>
            <w:tcW w:w="905" w:type="dxa"/>
            <w:tcBorders/>
            <w:shd w:fill="CCEEFF" w:val="clear"/>
            <w:tcMar>
              <w:top w:w="0" w:type="dxa"/>
              <w:left w:w="0" w:type="dxa"/>
              <w:bottom w:w="0" w:type="dxa"/>
              <w:right w:w="0" w:type="dxa"/>
            </w:tcMar>
            <w:vAlign w:val="center"/>
          </w:tcPr>
          <w:p>
            <w:pPr>
              <w:pStyle w:val="TableContents"/>
              <w:bidi w:val="0"/>
              <w:spacing w:before="53" w:after="30"/>
              <w:ind w:left="0" w:right="0" w:firstLine="180"/>
              <w:jc w:val="left"/>
              <w:rPr>
                <w:rFonts w:ascii="Times New Roman" w:hAnsi="Times New Roman"/>
                <w:color w:val="000000"/>
                <w:sz w:val="20"/>
              </w:rPr>
            </w:pPr>
            <w:r>
              <w:rPr>
                <w:rFonts w:ascii="Times New Roman" w:hAnsi="Times New Roman"/>
                <w:color w:val="000000"/>
                <w:sz w:val="20"/>
              </w:rPr>
              <w:t>Item 5.</w:t>
            </w:r>
          </w:p>
        </w:tc>
        <w:tc>
          <w:tcPr>
            <w:tcW w:w="8758" w:type="dxa"/>
            <w:tcBorders/>
            <w:shd w:fill="CCEEFF" w:val="clear"/>
            <w:tcMar>
              <w:top w:w="0" w:type="dxa"/>
              <w:left w:w="0" w:type="dxa"/>
              <w:bottom w:w="0" w:type="dxa"/>
              <w:right w:w="0" w:type="dxa"/>
            </w:tcMar>
            <w:vAlign w:val="center"/>
          </w:tcPr>
          <w:p>
            <w:pPr>
              <w:pStyle w:val="TableContents"/>
              <w:bidi w:val="0"/>
              <w:spacing w:before="53" w:after="30"/>
              <w:jc w:val="left"/>
              <w:rPr/>
            </w:pPr>
            <w:hyperlink w:anchor="partii_5">
              <w:r>
                <w:rPr>
                  <w:rStyle w:val="InternetLink"/>
                  <w:rFonts w:ascii="Times New Roman" w:hAnsi="Times New Roman"/>
                  <w:color w:val="0000FF"/>
                  <w:sz w:val="20"/>
                  <w:u w:val="single"/>
                </w:rPr>
                <w:t>Other Information</w:t>
              </w:r>
            </w:hyperlink>
          </w:p>
        </w:tc>
        <w:tc>
          <w:tcPr>
            <w:tcW w:w="542" w:type="dxa"/>
            <w:tcBorders/>
            <w:shd w:fill="CCEEFF" w:val="clear"/>
            <w:tcMar>
              <w:top w:w="0" w:type="dxa"/>
              <w:left w:w="0" w:type="dxa"/>
              <w:bottom w:w="0" w:type="dxa"/>
              <w:right w:w="0" w:type="dxa"/>
            </w:tcMar>
            <w:vAlign w:val="center"/>
          </w:tcPr>
          <w:p>
            <w:pPr>
              <w:pStyle w:val="TableContents"/>
              <w:bidi w:val="0"/>
              <w:spacing w:before="53" w:after="30"/>
              <w:ind w:left="0" w:right="0" w:firstLine="180"/>
              <w:jc w:val="right"/>
              <w:rPr>
                <w:rFonts w:ascii="Times New Roman" w:hAnsi="Times New Roman"/>
                <w:color w:val="0000FF"/>
                <w:sz w:val="20"/>
                <w:u w:val="single"/>
              </w:rPr>
            </w:pPr>
            <w:r>
              <w:rPr>
                <w:rFonts w:ascii="Times New Roman" w:hAnsi="Times New Roman"/>
                <w:color w:val="0000FF"/>
                <w:sz w:val="20"/>
                <w:u w:val="single"/>
              </w:rPr>
              <w:t>61</w:t>
            </w:r>
          </w:p>
        </w:tc>
      </w:tr>
      <w:tr>
        <w:trPr/>
        <w:tc>
          <w:tcPr>
            <w:tcW w:w="905" w:type="dxa"/>
            <w:tcBorders/>
            <w:tcMar>
              <w:top w:w="0" w:type="dxa"/>
              <w:left w:w="0" w:type="dxa"/>
              <w:bottom w:w="0" w:type="dxa"/>
              <w:right w:w="0" w:type="dxa"/>
            </w:tcMar>
            <w:vAlign w:val="center"/>
          </w:tcPr>
          <w:p>
            <w:pPr>
              <w:pStyle w:val="TableContents"/>
              <w:bidi w:val="0"/>
              <w:spacing w:before="53" w:after="30"/>
              <w:ind w:left="0" w:right="0" w:firstLine="180"/>
              <w:jc w:val="left"/>
              <w:rPr>
                <w:rFonts w:ascii="Times New Roman" w:hAnsi="Times New Roman"/>
                <w:color w:val="000000"/>
                <w:sz w:val="20"/>
              </w:rPr>
            </w:pPr>
            <w:r>
              <w:rPr>
                <w:rFonts w:ascii="Times New Roman" w:hAnsi="Times New Roman"/>
                <w:color w:val="000000"/>
                <w:sz w:val="20"/>
              </w:rPr>
              <w:t>Item 6.</w:t>
            </w:r>
          </w:p>
        </w:tc>
        <w:tc>
          <w:tcPr>
            <w:tcW w:w="8758" w:type="dxa"/>
            <w:tcBorders/>
            <w:tcMar>
              <w:top w:w="0" w:type="dxa"/>
              <w:left w:w="0" w:type="dxa"/>
              <w:bottom w:w="0" w:type="dxa"/>
              <w:right w:w="0" w:type="dxa"/>
            </w:tcMar>
            <w:vAlign w:val="center"/>
          </w:tcPr>
          <w:p>
            <w:pPr>
              <w:pStyle w:val="TableContents"/>
              <w:bidi w:val="0"/>
              <w:spacing w:before="53" w:after="30"/>
              <w:jc w:val="left"/>
              <w:rPr/>
            </w:pPr>
            <w:hyperlink w:anchor="partii_6">
              <w:r>
                <w:rPr>
                  <w:rStyle w:val="InternetLink"/>
                  <w:rFonts w:ascii="Times New Roman" w:hAnsi="Times New Roman"/>
                  <w:color w:val="0000FF"/>
                  <w:sz w:val="20"/>
                  <w:u w:val="single"/>
                </w:rPr>
                <w:t>Exhibits</w:t>
              </w:r>
            </w:hyperlink>
          </w:p>
        </w:tc>
        <w:tc>
          <w:tcPr>
            <w:tcW w:w="542"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FF"/>
                <w:sz w:val="20"/>
                <w:u w:val="single"/>
              </w:rPr>
            </w:pPr>
            <w:r>
              <w:rPr>
                <w:rFonts w:ascii="Times New Roman" w:hAnsi="Times New Roman"/>
                <w:color w:val="0000FF"/>
                <w:sz w:val="20"/>
                <w:u w:val="single"/>
              </w:rPr>
              <w:t>62</w:t>
            </w:r>
          </w:p>
        </w:tc>
      </w:tr>
      <w:tr>
        <w:trPr/>
        <w:tc>
          <w:tcPr>
            <w:tcW w:w="9663" w:type="dxa"/>
            <w:gridSpan w:val="2"/>
            <w:tcBorders/>
            <w:shd w:fill="CCEEFF" w:val="clear"/>
            <w:tcMar>
              <w:top w:w="0" w:type="dxa"/>
              <w:left w:w="0" w:type="dxa"/>
              <w:bottom w:w="0" w:type="dxa"/>
              <w:right w:w="0" w:type="dxa"/>
            </w:tcMar>
            <w:vAlign w:val="center"/>
          </w:tcPr>
          <w:p>
            <w:pPr>
              <w:pStyle w:val="TableContents"/>
              <w:bidi w:val="0"/>
              <w:spacing w:before="53" w:after="30"/>
              <w:jc w:val="left"/>
              <w:rPr/>
            </w:pPr>
            <w:hyperlink w:anchor="signatures">
              <w:r>
                <w:rPr>
                  <w:rStyle w:val="InternetLink"/>
                  <w:rFonts w:ascii="Times New Roman" w:hAnsi="Times New Roman"/>
                  <w:color w:val="0000FF"/>
                  <w:sz w:val="20"/>
                  <w:u w:val="single"/>
                </w:rPr>
                <w:t>SIGNATURES</w:t>
              </w:r>
            </w:hyperlink>
            <w:hyperlink w:anchor="signatures">
              <w:r>
                <w:rPr>
                  <w:rStyle w:val="InternetLink"/>
                  <w:rFonts w:ascii="Times New Roman" w:hAnsi="Times New Roman"/>
                  <w:color w:val="0000FF"/>
                  <w:sz w:val="20"/>
                </w:rPr>
                <w:t xml:space="preserve"> </w:t>
              </w:r>
            </w:hyperlink>
          </w:p>
        </w:tc>
        <w:tc>
          <w:tcPr>
            <w:tcW w:w="542" w:type="dxa"/>
            <w:tcBorders/>
            <w:shd w:fill="CCEEFF" w:val="clear"/>
            <w:tcMar>
              <w:top w:w="0" w:type="dxa"/>
              <w:left w:w="0" w:type="dxa"/>
              <w:bottom w:w="0" w:type="dxa"/>
              <w:right w:w="0" w:type="dxa"/>
            </w:tcMar>
            <w:vAlign w:val="center"/>
          </w:tcPr>
          <w:p>
            <w:pPr>
              <w:pStyle w:val="TableContents"/>
              <w:bidi w:val="0"/>
              <w:spacing w:before="53" w:after="30"/>
              <w:jc w:val="right"/>
              <w:rPr>
                <w:rFonts w:ascii="Times New Roman" w:hAnsi="Times New Roman"/>
                <w:color w:val="0000FF"/>
                <w:sz w:val="20"/>
                <w:u w:val="single"/>
              </w:rPr>
            </w:pPr>
            <w:r>
              <w:rPr>
                <w:rFonts w:ascii="Times New Roman" w:hAnsi="Times New Roman"/>
                <w:color w:val="0000FF"/>
                <w:sz w:val="20"/>
                <w:u w:val="single"/>
              </w:rPr>
              <w:t>63</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OFS®, OFS Capital®, OFS Credit® and HPCI® are registered trademarks of Orchard First Source Asset Management, LLC.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OFS Capital Management is a trademark of Orchard First Source Asset Management, LLC.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other trademarks or trade names referred to in this Quarterly Report on Form 10-Q are the property of their respective owners.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Defined Terms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used “we,” “us,” “our,” “our company” and “the Company” to refer to OFS Capital Corporation in this report. We also have used several other terms in this report, which are explained or defined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76"/>
        <w:gridCol w:w="8629"/>
      </w:tblGrid>
      <w:tr>
        <w:trPr/>
        <w:tc>
          <w:tcPr>
            <w:tcW w:w="1576" w:type="dxa"/>
            <w:tcBorders/>
            <w:vAlign w:val="center"/>
          </w:tcPr>
          <w:p>
            <w:pPr>
              <w:pStyle w:val="TableContents"/>
              <w:bidi w:val="0"/>
              <w:spacing w:before="0" w:after="283"/>
              <w:jc w:val="left"/>
              <w:rPr>
                <w:sz w:val="4"/>
                <w:szCs w:val="4"/>
              </w:rPr>
            </w:pPr>
            <w:r>
              <w:rPr>
                <w:sz w:val="4"/>
                <w:szCs w:val="4"/>
              </w:rPr>
            </w:r>
          </w:p>
        </w:tc>
        <w:tc>
          <w:tcPr>
            <w:tcW w:w="8629" w:type="dxa"/>
            <w:tcBorders/>
            <w:vAlign w:val="center"/>
          </w:tcPr>
          <w:p>
            <w:pPr>
              <w:pStyle w:val="TableContents"/>
              <w:bidi w:val="0"/>
              <w:spacing w:before="0" w:after="283"/>
              <w:jc w:val="left"/>
              <w:rPr>
                <w:sz w:val="4"/>
                <w:szCs w:val="4"/>
              </w:rPr>
            </w:pPr>
            <w:r>
              <w:rPr>
                <w:sz w:val="4"/>
                <w:szCs w:val="4"/>
              </w:rPr>
            </w:r>
          </w:p>
        </w:tc>
      </w:tr>
      <w:tr>
        <w:trPr/>
        <w:tc>
          <w:tcPr>
            <w:tcW w:w="1576"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Term</w:t>
            </w:r>
          </w:p>
        </w:tc>
        <w:tc>
          <w:tcPr>
            <w:tcW w:w="8629"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Explanation or Definition</w:t>
            </w:r>
          </w:p>
        </w:tc>
      </w:tr>
      <w:tr>
        <w:trPr/>
        <w:tc>
          <w:tcPr>
            <w:tcW w:w="1576" w:type="dxa"/>
            <w:tcBorders>
              <w:left w:val="single" w:sz="4" w:space="0" w:color="000000"/>
              <w:bottom w:val="single" w:sz="4" w:space="0" w:color="000000"/>
              <w:right w:val="single" w:sz="4" w:space="0" w:color="000000"/>
            </w:tcBorders>
            <w:shd w:fill="C1E5F5"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1940 Act</w:t>
            </w:r>
          </w:p>
        </w:tc>
        <w:tc>
          <w:tcPr>
            <w:tcW w:w="8629" w:type="dxa"/>
            <w:tcBorders>
              <w:bottom w:val="single" w:sz="4" w:space="0" w:color="000000"/>
              <w:right w:val="single" w:sz="4" w:space="0" w:color="000000"/>
            </w:tcBorders>
            <w:shd w:fill="C1E5F5"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Company Act of 1940, as amended</w:t>
            </w:r>
          </w:p>
        </w:tc>
      </w:tr>
      <w:tr>
        <w:trPr/>
        <w:tc>
          <w:tcPr>
            <w:tcW w:w="157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Administration Agreement</w:t>
            </w:r>
          </w:p>
        </w:tc>
        <w:tc>
          <w:tcPr>
            <w:tcW w:w="862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Administration Agreement between the Company and OFS Services dated November 7, 2012</w:t>
            </w:r>
          </w:p>
        </w:tc>
      </w:tr>
      <w:tr>
        <w:trPr/>
        <w:tc>
          <w:tcPr>
            <w:tcW w:w="1576" w:type="dxa"/>
            <w:tcBorders>
              <w:left w:val="single" w:sz="4" w:space="0" w:color="000000"/>
              <w:bottom w:val="single" w:sz="4" w:space="0" w:color="000000"/>
              <w:right w:val="single" w:sz="4" w:space="0" w:color="000000"/>
            </w:tcBorders>
            <w:shd w:fill="C1E5F5"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Affiliated Account</w:t>
            </w:r>
          </w:p>
        </w:tc>
        <w:tc>
          <w:tcPr>
            <w:tcW w:w="8629" w:type="dxa"/>
            <w:tcBorders>
              <w:bottom w:val="single" w:sz="4" w:space="0" w:color="000000"/>
              <w:right w:val="single" w:sz="4" w:space="0" w:color="000000"/>
            </w:tcBorders>
            <w:shd w:fill="C1E5F5"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 account, other than the Company, managed by OFS Advisor or an affiliate of OFS Advisor</w:t>
            </w:r>
          </w:p>
        </w:tc>
      </w:tr>
      <w:tr>
        <w:trPr/>
        <w:tc>
          <w:tcPr>
            <w:tcW w:w="157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Affiliated Fund</w:t>
            </w:r>
          </w:p>
        </w:tc>
        <w:tc>
          <w:tcPr>
            <w:tcW w:w="862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Certain other funds, including other BDCs and registered investment companies managed by OFS Advisor or by registered investment advisers controlling, controlled by, or under common control with, OFS Advisor</w:t>
            </w:r>
          </w:p>
        </w:tc>
      </w:tr>
      <w:tr>
        <w:trPr/>
        <w:tc>
          <w:tcPr>
            <w:tcW w:w="1576" w:type="dxa"/>
            <w:tcBorders>
              <w:left w:val="single" w:sz="4" w:space="0" w:color="000000"/>
              <w:bottom w:val="single" w:sz="4" w:space="0" w:color="000000"/>
              <w:right w:val="single" w:sz="4" w:space="0" w:color="000000"/>
            </w:tcBorders>
            <w:shd w:fill="C1E5F5"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ASC</w:t>
            </w:r>
          </w:p>
        </w:tc>
        <w:tc>
          <w:tcPr>
            <w:tcW w:w="8629" w:type="dxa"/>
            <w:tcBorders>
              <w:bottom w:val="single" w:sz="4" w:space="0" w:color="000000"/>
              <w:right w:val="single" w:sz="4" w:space="0" w:color="000000"/>
            </w:tcBorders>
            <w:shd w:fill="C1E5F5"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Accounting Standards Codification, as issued by the FASB</w:t>
            </w:r>
          </w:p>
        </w:tc>
      </w:tr>
      <w:tr>
        <w:trPr/>
        <w:tc>
          <w:tcPr>
            <w:tcW w:w="157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BDC</w:t>
            </w:r>
          </w:p>
        </w:tc>
        <w:tc>
          <w:tcPr>
            <w:tcW w:w="862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Development Company under the 1940 Act</w:t>
            </w:r>
          </w:p>
        </w:tc>
      </w:tr>
      <w:tr>
        <w:trPr/>
        <w:tc>
          <w:tcPr>
            <w:tcW w:w="1576" w:type="dxa"/>
            <w:tcBorders>
              <w:left w:val="single" w:sz="4" w:space="0" w:color="000000"/>
              <w:bottom w:val="single" w:sz="4" w:space="0" w:color="000000"/>
              <w:right w:val="single" w:sz="4" w:space="0" w:color="000000"/>
            </w:tcBorders>
            <w:shd w:fill="C1E5F5"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w:t>
            </w:r>
          </w:p>
        </w:tc>
        <w:tc>
          <w:tcPr>
            <w:tcW w:w="8629" w:type="dxa"/>
            <w:tcBorders>
              <w:bottom w:val="single" w:sz="4" w:space="0" w:color="000000"/>
              <w:right w:val="single" w:sz="4" w:space="0" w:color="000000"/>
            </w:tcBorders>
            <w:shd w:fill="C1E5F5"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Loan Agreement, as amended, with Banc of California, as lender, which provides the Company with a senior secured revolving credit facility</w:t>
            </w:r>
          </w:p>
        </w:tc>
      </w:tr>
      <w:tr>
        <w:trPr/>
        <w:tc>
          <w:tcPr>
            <w:tcW w:w="157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BNP Facility</w:t>
            </w:r>
          </w:p>
        </w:tc>
        <w:tc>
          <w:tcPr>
            <w:tcW w:w="862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 secured revolving credit facility, as amended, that provided for borrowings in an aggregate principal amount up to $80,000,000 during its reinvestment period, issued pursuant to a Revolving Credit and Security Agreement, as amended, by and among OFSCC-FS, the lenders from time to time parties thereto, BNP Paribas, as administrative agent, OFSCC-FS Holdings, LLC, a wholly owned subsidiary of the Company, as equityholder, the Company, as servicer, Citibank, N.A., as collateral agent and Virtus Group, LP, as collateral administrator, which was fully repaid and terminated on February 18, 2026</w:t>
            </w:r>
          </w:p>
        </w:tc>
      </w:tr>
      <w:tr>
        <w:trPr/>
        <w:tc>
          <w:tcPr>
            <w:tcW w:w="1576" w:type="dxa"/>
            <w:tcBorders>
              <w:left w:val="single" w:sz="4" w:space="0" w:color="000000"/>
              <w:bottom w:val="single" w:sz="4" w:space="0" w:color="000000"/>
              <w:right w:val="single" w:sz="4" w:space="0" w:color="000000"/>
            </w:tcBorders>
            <w:shd w:fill="C1E5F5"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w:t>
            </w:r>
          </w:p>
        </w:tc>
        <w:tc>
          <w:tcPr>
            <w:tcW w:w="8629" w:type="dxa"/>
            <w:tcBorders>
              <w:bottom w:val="single" w:sz="4" w:space="0" w:color="000000"/>
              <w:right w:val="single" w:sz="4" w:space="0" w:color="000000"/>
            </w:tcBorders>
            <w:shd w:fill="C1E5F5"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Company’s board of directors</w:t>
            </w:r>
          </w:p>
        </w:tc>
      </w:tr>
      <w:tr>
        <w:trPr/>
        <w:tc>
          <w:tcPr>
            <w:tcW w:w="157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Banc of California Credit Facility</w:t>
            </w:r>
          </w:p>
        </w:tc>
        <w:tc>
          <w:tcPr>
            <w:tcW w:w="862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senior secured revolving credit facility, as amended, with Banc of California (formerly known as Pacific Western Bank), as lender, that provides for borrowings to the Company in an aggregate principal amount up to $15,000,000</w:t>
            </w:r>
          </w:p>
        </w:tc>
      </w:tr>
      <w:tr>
        <w:trPr/>
        <w:tc>
          <w:tcPr>
            <w:tcW w:w="1576" w:type="dxa"/>
            <w:tcBorders>
              <w:left w:val="single" w:sz="4" w:space="0" w:color="000000"/>
              <w:bottom w:val="single" w:sz="4" w:space="0" w:color="000000"/>
              <w:right w:val="single" w:sz="4" w:space="0" w:color="000000"/>
            </w:tcBorders>
            <w:shd w:fill="C1E5F5"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w:t>
            </w:r>
          </w:p>
        </w:tc>
        <w:tc>
          <w:tcPr>
            <w:tcW w:w="8629" w:type="dxa"/>
            <w:tcBorders>
              <w:bottom w:val="single" w:sz="4" w:space="0" w:color="000000"/>
              <w:right w:val="single" w:sz="4" w:space="0" w:color="000000"/>
            </w:tcBorders>
            <w:shd w:fill="C1E5F5"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Collateralized loan obligation</w:t>
            </w:r>
          </w:p>
        </w:tc>
      </w:tr>
      <w:tr>
        <w:trPr/>
        <w:tc>
          <w:tcPr>
            <w:tcW w:w="157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Code</w:t>
            </w:r>
          </w:p>
        </w:tc>
        <w:tc>
          <w:tcPr>
            <w:tcW w:w="862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Revenue Code of 1986, as amended</w:t>
            </w:r>
          </w:p>
        </w:tc>
      </w:tr>
      <w:tr>
        <w:trPr/>
        <w:tc>
          <w:tcPr>
            <w:tcW w:w="1576" w:type="dxa"/>
            <w:tcBorders>
              <w:left w:val="single" w:sz="4" w:space="0" w:color="000000"/>
              <w:bottom w:val="single" w:sz="4" w:space="0" w:color="000000"/>
              <w:right w:val="single" w:sz="4" w:space="0" w:color="000000"/>
            </w:tcBorders>
            <w:shd w:fill="C1E5F5"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Company</w:t>
            </w:r>
          </w:p>
        </w:tc>
        <w:tc>
          <w:tcPr>
            <w:tcW w:w="8629" w:type="dxa"/>
            <w:tcBorders>
              <w:bottom w:val="single" w:sz="4" w:space="0" w:color="000000"/>
              <w:right w:val="single" w:sz="4" w:space="0" w:color="000000"/>
            </w:tcBorders>
            <w:shd w:fill="C1E5F5"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OFS Capital Corporation and its consolidated subsidiaries</w:t>
            </w:r>
          </w:p>
        </w:tc>
      </w:tr>
      <w:tr>
        <w:trPr/>
        <w:tc>
          <w:tcPr>
            <w:tcW w:w="157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DRIP</w:t>
            </w:r>
          </w:p>
        </w:tc>
        <w:tc>
          <w:tcPr>
            <w:tcW w:w="862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reinvestment plan</w:t>
            </w:r>
          </w:p>
        </w:tc>
      </w:tr>
      <w:tr>
        <w:trPr/>
        <w:tc>
          <w:tcPr>
            <w:tcW w:w="1576" w:type="dxa"/>
            <w:tcBorders>
              <w:left w:val="single" w:sz="4" w:space="0" w:color="000000"/>
              <w:bottom w:val="single" w:sz="4" w:space="0" w:color="000000"/>
              <w:right w:val="single" w:sz="4" w:space="0" w:color="000000"/>
            </w:tcBorders>
            <w:shd w:fill="C1E5F5"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8629" w:type="dxa"/>
            <w:tcBorders>
              <w:bottom w:val="single" w:sz="4" w:space="0" w:color="000000"/>
              <w:right w:val="single" w:sz="4" w:space="0" w:color="000000"/>
            </w:tcBorders>
            <w:shd w:fill="C1E5F5"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before interest, taxes, depreciation and amortization</w:t>
            </w:r>
          </w:p>
        </w:tc>
      </w:tr>
      <w:tr>
        <w:trPr/>
        <w:tc>
          <w:tcPr>
            <w:tcW w:w="157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Act</w:t>
            </w:r>
          </w:p>
        </w:tc>
        <w:tc>
          <w:tcPr>
            <w:tcW w:w="862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Securities Exchange Act of 1934, as amended</w:t>
            </w:r>
          </w:p>
        </w:tc>
      </w:tr>
      <w:tr>
        <w:trPr/>
        <w:tc>
          <w:tcPr>
            <w:tcW w:w="1576" w:type="dxa"/>
            <w:tcBorders>
              <w:left w:val="single" w:sz="4" w:space="0" w:color="000000"/>
              <w:bottom w:val="single" w:sz="4" w:space="0" w:color="000000"/>
              <w:right w:val="single" w:sz="4" w:space="0" w:color="000000"/>
            </w:tcBorders>
            <w:shd w:fill="C1E5F5"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FASB</w:t>
            </w:r>
          </w:p>
        </w:tc>
        <w:tc>
          <w:tcPr>
            <w:tcW w:w="8629" w:type="dxa"/>
            <w:tcBorders>
              <w:bottom w:val="single" w:sz="4" w:space="0" w:color="000000"/>
              <w:right w:val="single" w:sz="4" w:space="0" w:color="000000"/>
            </w:tcBorders>
            <w:shd w:fill="C1E5F5"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Accounting Standards Board</w:t>
            </w:r>
          </w:p>
        </w:tc>
      </w:tr>
      <w:tr>
        <w:trPr/>
        <w:tc>
          <w:tcPr>
            <w:tcW w:w="157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FDIC</w:t>
            </w:r>
          </w:p>
        </w:tc>
        <w:tc>
          <w:tcPr>
            <w:tcW w:w="862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Deposit Insurance Corporation</w:t>
            </w:r>
          </w:p>
        </w:tc>
      </w:tr>
      <w:tr>
        <w:trPr/>
        <w:tc>
          <w:tcPr>
            <w:tcW w:w="1576" w:type="dxa"/>
            <w:tcBorders>
              <w:left w:val="single" w:sz="4" w:space="0" w:color="000000"/>
              <w:bottom w:val="single" w:sz="4" w:space="0" w:color="000000"/>
              <w:right w:val="single" w:sz="4" w:space="0" w:color="000000"/>
            </w:tcBorders>
            <w:shd w:fill="C1E5F5"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w:t>
            </w:r>
          </w:p>
        </w:tc>
        <w:tc>
          <w:tcPr>
            <w:tcW w:w="8629" w:type="dxa"/>
            <w:tcBorders>
              <w:bottom w:val="single" w:sz="4" w:space="0" w:color="000000"/>
              <w:right w:val="single" w:sz="4" w:space="0" w:color="000000"/>
            </w:tcBorders>
            <w:shd w:fill="C1E5F5"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Accounting principles generally accepted in the United States</w:t>
            </w:r>
          </w:p>
        </w:tc>
      </w:tr>
      <w:tr>
        <w:trPr/>
        <w:tc>
          <w:tcPr>
            <w:tcW w:w="157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HPCI</w:t>
            </w:r>
          </w:p>
        </w:tc>
        <w:tc>
          <w:tcPr>
            <w:tcW w:w="862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Hancock Park Corporate Income, Inc., a Maryland corporation and non-traded BDC, for which OFS Advisor serves as investment adviser</w:t>
            </w:r>
          </w:p>
        </w:tc>
      </w:tr>
      <w:tr>
        <w:trPr/>
        <w:tc>
          <w:tcPr>
            <w:tcW w:w="1576" w:type="dxa"/>
            <w:tcBorders>
              <w:left w:val="single" w:sz="4" w:space="0" w:color="000000"/>
              <w:bottom w:val="single" w:sz="4" w:space="0" w:color="000000"/>
              <w:right w:val="single" w:sz="4" w:space="0" w:color="000000"/>
            </w:tcBorders>
            <w:shd w:fill="C1E5F5"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ICTI</w:t>
            </w:r>
          </w:p>
        </w:tc>
        <w:tc>
          <w:tcPr>
            <w:tcW w:w="8629" w:type="dxa"/>
            <w:tcBorders>
              <w:bottom w:val="single" w:sz="4" w:space="0" w:color="000000"/>
              <w:right w:val="single" w:sz="4" w:space="0" w:color="000000"/>
            </w:tcBorders>
            <w:shd w:fill="C1E5F5"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company taxable income, which is generally net ordinary income plus net short-term capital gains in excess of net long-term capital losses</w:t>
            </w:r>
          </w:p>
        </w:tc>
      </w:tr>
      <w:tr>
        <w:trPr/>
        <w:tc>
          <w:tcPr>
            <w:tcW w:w="157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Indicative Prices</w:t>
            </w:r>
          </w:p>
        </w:tc>
        <w:tc>
          <w:tcPr>
            <w:tcW w:w="862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quotations, prices from pricing services or bids from brokers or dealers</w:t>
            </w:r>
          </w:p>
        </w:tc>
      </w:tr>
      <w:tr>
        <w:trPr/>
        <w:tc>
          <w:tcPr>
            <w:tcW w:w="1576" w:type="dxa"/>
            <w:tcBorders>
              <w:left w:val="single" w:sz="4" w:space="0" w:color="000000"/>
              <w:bottom w:val="single" w:sz="4" w:space="0" w:color="000000"/>
              <w:right w:val="single" w:sz="4" w:space="0" w:color="000000"/>
            </w:tcBorders>
            <w:shd w:fill="C1E5F5"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Advisory Agreement</w:t>
            </w:r>
          </w:p>
        </w:tc>
        <w:tc>
          <w:tcPr>
            <w:tcW w:w="8629" w:type="dxa"/>
            <w:tcBorders>
              <w:bottom w:val="single" w:sz="4" w:space="0" w:color="000000"/>
              <w:right w:val="single" w:sz="4" w:space="0" w:color="000000"/>
            </w:tcBorders>
            <w:shd w:fill="C1E5F5"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Advisory and Management Agreement between the Company and OFS Advisor dated November 7, 2012</w:t>
            </w:r>
          </w:p>
        </w:tc>
      </w:tr>
      <w:tr>
        <w:trPr/>
        <w:tc>
          <w:tcPr>
            <w:tcW w:w="157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Natixis Facility</w:t>
            </w:r>
          </w:p>
        </w:tc>
        <w:tc>
          <w:tcPr>
            <w:tcW w:w="862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 secured revolving credit facility that provides for borrowings in an aggregate principal amount up to $80,000,000 during its reinvestment period, issued pursuant to a Revolving Credit and Security Agreement by and among OFSCC-FS, the lenders from time to time parties thereto, Natixis, New York branch, as administrative agent, OFSCC-FS Holdings, LLC, a wholly owned subsidiary of the Company, as equityholder, the Company, as servicer, Citibank, N.A., as collateral agent and Virtus Group, LP, as collateral administrator</w:t>
            </w:r>
          </w:p>
        </w:tc>
      </w:tr>
      <w:tr>
        <w:trPr/>
        <w:tc>
          <w:tcPr>
            <w:tcW w:w="1576" w:type="dxa"/>
            <w:tcBorders>
              <w:left w:val="single" w:sz="4" w:space="0" w:color="000000"/>
              <w:bottom w:val="single" w:sz="4" w:space="0" w:color="000000"/>
              <w:right w:val="single" w:sz="4" w:space="0" w:color="000000"/>
            </w:tcBorders>
            <w:shd w:fill="C1E5F5"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NAV</w:t>
            </w:r>
          </w:p>
        </w:tc>
        <w:tc>
          <w:tcPr>
            <w:tcW w:w="8629" w:type="dxa"/>
            <w:tcBorders>
              <w:bottom w:val="single" w:sz="4" w:space="0" w:color="000000"/>
              <w:right w:val="single" w:sz="4" w:space="0" w:color="000000"/>
            </w:tcBorders>
            <w:shd w:fill="C1E5F5"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 NAV is calculated as consolidated total assets less consolidated total liabilities and can be expressed in the aggregate or on a per share basis</w:t>
            </w:r>
          </w:p>
        </w:tc>
      </w:tr>
      <w:tr>
        <w:trPr/>
        <w:tc>
          <w:tcPr>
            <w:tcW w:w="157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Loan Fees</w:t>
            </w:r>
          </w:p>
        </w:tc>
        <w:tc>
          <w:tcPr>
            <w:tcW w:w="862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cumulative amount of fees, such as origination fees, discounts, premiums and amendment fees that are deferred and recognized as income over the life of the loan</w:t>
            </w:r>
          </w:p>
        </w:tc>
      </w:tr>
      <w:tr>
        <w:trPr/>
        <w:tc>
          <w:tcPr>
            <w:tcW w:w="1576" w:type="dxa"/>
            <w:tcBorders>
              <w:left w:val="single" w:sz="4" w:space="0" w:color="000000"/>
              <w:bottom w:val="single" w:sz="4" w:space="0" w:color="000000"/>
              <w:right w:val="single" w:sz="4" w:space="0" w:color="000000"/>
            </w:tcBorders>
            <w:shd w:fill="C1E5F5"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OCCI</w:t>
            </w:r>
          </w:p>
        </w:tc>
        <w:tc>
          <w:tcPr>
            <w:tcW w:w="8629" w:type="dxa"/>
            <w:tcBorders>
              <w:bottom w:val="single" w:sz="4" w:space="0" w:color="000000"/>
              <w:right w:val="single" w:sz="4" w:space="0" w:color="000000"/>
            </w:tcBorders>
            <w:shd w:fill="C1E5F5"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OFS Credit Company, Inc., a Delaware corporation and a non-diversified, closed-end management investment company, for which OFS Advisor serves as investment adviser</w:t>
            </w:r>
          </w:p>
        </w:tc>
      </w:tr>
      <w:tr>
        <w:trPr/>
        <w:tc>
          <w:tcPr>
            <w:tcW w:w="157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OFS Advisor</w:t>
            </w:r>
          </w:p>
        </w:tc>
        <w:tc>
          <w:tcPr>
            <w:tcW w:w="862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OFS Capital Management, LLC, a wholly owned subsidiary of OFSAM and registered investment advisor under the Investment Advisers Act of 1940, as amended, focusing primarily on investments in middle market loans and broadly syndicated loans, debt and equity positions in CLOs and other structured credit investments</w:t>
            </w:r>
          </w:p>
        </w:tc>
      </w:tr>
      <w:tr>
        <w:trPr/>
        <w:tc>
          <w:tcPr>
            <w:tcW w:w="1576" w:type="dxa"/>
            <w:tcBorders>
              <w:left w:val="single" w:sz="4" w:space="0" w:color="000000"/>
              <w:bottom w:val="single" w:sz="4" w:space="0" w:color="000000"/>
              <w:right w:val="single" w:sz="4" w:space="0" w:color="000000"/>
            </w:tcBorders>
            <w:shd w:fill="C1E5F5"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OFS Services</w:t>
            </w:r>
          </w:p>
        </w:tc>
        <w:tc>
          <w:tcPr>
            <w:tcW w:w="8629" w:type="dxa"/>
            <w:tcBorders>
              <w:bottom w:val="single" w:sz="4" w:space="0" w:color="000000"/>
              <w:right w:val="single" w:sz="4" w:space="0" w:color="000000"/>
            </w:tcBorders>
            <w:shd w:fill="C1E5F5"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OFS Capital Services, LLC, a wholly owned subsidiary of OFSAM and affiliate of OFS Advisor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45"/>
        <w:gridCol w:w="8760"/>
      </w:tblGrid>
      <w:tr>
        <w:trPr/>
        <w:tc>
          <w:tcPr>
            <w:tcW w:w="1445" w:type="dxa"/>
            <w:tcBorders/>
            <w:vAlign w:val="center"/>
          </w:tcPr>
          <w:p>
            <w:pPr>
              <w:pStyle w:val="TableContents"/>
              <w:bidi w:val="0"/>
              <w:spacing w:before="0" w:after="283"/>
              <w:jc w:val="left"/>
              <w:rPr>
                <w:sz w:val="4"/>
                <w:szCs w:val="4"/>
              </w:rPr>
            </w:pPr>
            <w:r>
              <w:rPr>
                <w:sz w:val="4"/>
                <w:szCs w:val="4"/>
              </w:rPr>
            </w:r>
          </w:p>
        </w:tc>
        <w:tc>
          <w:tcPr>
            <w:tcW w:w="8760" w:type="dxa"/>
            <w:tcBorders/>
            <w:vAlign w:val="center"/>
          </w:tcPr>
          <w:p>
            <w:pPr>
              <w:pStyle w:val="TableContents"/>
              <w:bidi w:val="0"/>
              <w:spacing w:before="0" w:after="283"/>
              <w:jc w:val="left"/>
              <w:rPr>
                <w:sz w:val="4"/>
                <w:szCs w:val="4"/>
              </w:rPr>
            </w:pPr>
            <w:r>
              <w:rPr>
                <w:sz w:val="4"/>
                <w:szCs w:val="4"/>
              </w:rPr>
            </w:r>
          </w:p>
        </w:tc>
      </w:tr>
      <w:tr>
        <w:trPr/>
        <w:tc>
          <w:tcPr>
            <w:tcW w:w="1445"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OFSAM</w:t>
            </w:r>
          </w:p>
        </w:tc>
        <w:tc>
          <w:tcPr>
            <w:tcW w:w="8760"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Orchard First Source Asset Management, LLC, a subsidiary of OFSAM Holdings and a full-service provider of capital and leveraged finance solutions to U.S. corporations</w:t>
            </w:r>
          </w:p>
        </w:tc>
      </w:tr>
      <w:tr>
        <w:trPr/>
        <w:tc>
          <w:tcPr>
            <w:tcW w:w="1445" w:type="dxa"/>
            <w:tcBorders>
              <w:left w:val="single" w:sz="4" w:space="0" w:color="000000"/>
              <w:bottom w:val="single" w:sz="4" w:space="0" w:color="000000"/>
              <w:right w:val="single" w:sz="4" w:space="0" w:color="000000"/>
            </w:tcBorders>
            <w:shd w:fill="C1E5F5"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OFSAM Holdings</w:t>
            </w:r>
          </w:p>
        </w:tc>
        <w:tc>
          <w:tcPr>
            <w:tcW w:w="8760" w:type="dxa"/>
            <w:tcBorders>
              <w:bottom w:val="single" w:sz="4" w:space="0" w:color="000000"/>
              <w:right w:val="single" w:sz="4" w:space="0" w:color="000000"/>
            </w:tcBorders>
            <w:shd w:fill="C1E5F5"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Orchard First Source Asset Management Holdings, LLC, a holding company consisting of asset management businesses, including OFS Advisor, a registered investment adviser focusing primarily on investments in middle market loans and broadly syndicated loans, debt and equity positions in CLOs and other structured credit investments, and OFS CLO Management, LLC, OFS CLO Management II, LLC and OFS CLO Management III, LLC, each a registered investment adviser focusing primarily on investments in broadly syndicated loans</w:t>
            </w:r>
          </w:p>
        </w:tc>
      </w:tr>
      <w:tr>
        <w:trPr/>
        <w:tc>
          <w:tcPr>
            <w:tcW w:w="144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OFSCC-FS</w:t>
            </w:r>
          </w:p>
        </w:tc>
        <w:tc>
          <w:tcPr>
            <w:tcW w:w="87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OFSCC-FS, LLC, an indirect wholly owned subsidiary of the Company</w:t>
            </w:r>
          </w:p>
        </w:tc>
      </w:tr>
      <w:tr>
        <w:trPr/>
        <w:tc>
          <w:tcPr>
            <w:tcW w:w="1445" w:type="dxa"/>
            <w:tcBorders>
              <w:left w:val="single" w:sz="4" w:space="0" w:color="000000"/>
              <w:bottom w:val="single" w:sz="4" w:space="0" w:color="000000"/>
              <w:right w:val="single" w:sz="4" w:space="0" w:color="000000"/>
            </w:tcBorders>
            <w:shd w:fill="C1E5F5"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OFSCC-FS Assets</w:t>
            </w:r>
          </w:p>
        </w:tc>
        <w:tc>
          <w:tcPr>
            <w:tcW w:w="8760" w:type="dxa"/>
            <w:tcBorders>
              <w:bottom w:val="single" w:sz="4" w:space="0" w:color="000000"/>
              <w:right w:val="single" w:sz="4" w:space="0" w:color="000000"/>
            </w:tcBorders>
            <w:shd w:fill="C1E5F5"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held by the Company through OFSCC-FS</w:t>
            </w:r>
          </w:p>
        </w:tc>
      </w:tr>
      <w:tr>
        <w:trPr/>
        <w:tc>
          <w:tcPr>
            <w:tcW w:w="144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OFSCC-MB</w:t>
            </w:r>
          </w:p>
        </w:tc>
        <w:tc>
          <w:tcPr>
            <w:tcW w:w="87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OFSCC-MB, Inc., a wholly owned subsidiary taxed under subchapter C of the Code that generally holds the equity investments of the Company that are taxed as pass-through entities</w:t>
            </w:r>
          </w:p>
        </w:tc>
      </w:tr>
      <w:tr>
        <w:trPr/>
        <w:tc>
          <w:tcPr>
            <w:tcW w:w="1445" w:type="dxa"/>
            <w:tcBorders>
              <w:left w:val="single" w:sz="4" w:space="0" w:color="000000"/>
              <w:bottom w:val="single" w:sz="4" w:space="0" w:color="000000"/>
              <w:right w:val="single" w:sz="4" w:space="0" w:color="000000"/>
            </w:tcBorders>
            <w:shd w:fill="C1E5F5"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OID</w:t>
            </w:r>
          </w:p>
        </w:tc>
        <w:tc>
          <w:tcPr>
            <w:tcW w:w="8760" w:type="dxa"/>
            <w:tcBorders>
              <w:bottom w:val="single" w:sz="4" w:space="0" w:color="000000"/>
              <w:right w:val="single" w:sz="4" w:space="0" w:color="000000"/>
            </w:tcBorders>
            <w:shd w:fill="C1E5F5"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Original issue discount</w:t>
            </w:r>
          </w:p>
        </w:tc>
      </w:tr>
      <w:tr>
        <w:trPr/>
        <w:tc>
          <w:tcPr>
            <w:tcW w:w="144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Order</w:t>
            </w:r>
          </w:p>
        </w:tc>
        <w:tc>
          <w:tcPr>
            <w:tcW w:w="87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 exemptive relief order from the SEC to permit us to co-invest in portfolio companies with Affiliated Funds in a manner consistent with our investment objective, positions, policies, strategies and restrictions as well as regulatory requirements and other pertinent factors, subject to compliance with certain conditions</w:t>
            </w:r>
          </w:p>
        </w:tc>
      </w:tr>
      <w:tr>
        <w:trPr/>
        <w:tc>
          <w:tcPr>
            <w:tcW w:w="1445" w:type="dxa"/>
            <w:tcBorders>
              <w:left w:val="single" w:sz="4" w:space="0" w:color="000000"/>
              <w:bottom w:val="single" w:sz="4" w:space="0" w:color="000000"/>
              <w:right w:val="single" w:sz="4" w:space="0" w:color="000000"/>
            </w:tcBorders>
            <w:shd w:fill="C1E5F5"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Parent</w:t>
            </w:r>
          </w:p>
        </w:tc>
        <w:tc>
          <w:tcPr>
            <w:tcW w:w="8760" w:type="dxa"/>
            <w:tcBorders>
              <w:bottom w:val="single" w:sz="4" w:space="0" w:color="000000"/>
              <w:right w:val="single" w:sz="4" w:space="0" w:color="000000"/>
            </w:tcBorders>
            <w:shd w:fill="C1E5F5"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OFS Capital Corporation</w:t>
            </w:r>
          </w:p>
        </w:tc>
      </w:tr>
      <w:tr>
        <w:trPr/>
        <w:tc>
          <w:tcPr>
            <w:tcW w:w="144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PIK</w:t>
            </w:r>
          </w:p>
        </w:tc>
        <w:tc>
          <w:tcPr>
            <w:tcW w:w="87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Payment-in-kind, non-cash interest or dividends payable as an addition to the loan or equity security producing the income</w:t>
            </w:r>
          </w:p>
        </w:tc>
      </w:tr>
      <w:tr>
        <w:trPr/>
        <w:tc>
          <w:tcPr>
            <w:tcW w:w="1445" w:type="dxa"/>
            <w:tcBorders>
              <w:left w:val="single" w:sz="4" w:space="0" w:color="000000"/>
              <w:bottom w:val="single" w:sz="4" w:space="0" w:color="000000"/>
              <w:right w:val="single" w:sz="4" w:space="0" w:color="000000"/>
            </w:tcBorders>
            <w:shd w:fill="C1E5F5"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Portfolio Company Investment</w:t>
            </w:r>
          </w:p>
        </w:tc>
        <w:tc>
          <w:tcPr>
            <w:tcW w:w="8760" w:type="dxa"/>
            <w:tcBorders>
              <w:bottom w:val="single" w:sz="4" w:space="0" w:color="000000"/>
              <w:right w:val="single" w:sz="4" w:space="0" w:color="000000"/>
            </w:tcBorders>
            <w:shd w:fill="C1E5F5"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debt or equity investment in a portfolio company. Portfolio Company Investments exclude Structured Finance Securities</w:t>
            </w:r>
          </w:p>
        </w:tc>
      </w:tr>
      <w:tr>
        <w:trPr/>
        <w:tc>
          <w:tcPr>
            <w:tcW w:w="144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Prime Rate</w:t>
            </w:r>
          </w:p>
        </w:tc>
        <w:tc>
          <w:tcPr>
            <w:tcW w:w="87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 Prime interest rate</w:t>
            </w:r>
          </w:p>
        </w:tc>
      </w:tr>
      <w:tr>
        <w:trPr/>
        <w:tc>
          <w:tcPr>
            <w:tcW w:w="1445" w:type="dxa"/>
            <w:tcBorders>
              <w:left w:val="single" w:sz="4" w:space="0" w:color="000000"/>
              <w:bottom w:val="single" w:sz="4" w:space="0" w:color="000000"/>
              <w:right w:val="single" w:sz="4" w:space="0" w:color="000000"/>
            </w:tcBorders>
            <w:shd w:fill="C1E5F5"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w:t>
            </w:r>
          </w:p>
        </w:tc>
        <w:tc>
          <w:tcPr>
            <w:tcW w:w="8760" w:type="dxa"/>
            <w:tcBorders>
              <w:bottom w:val="single" w:sz="4" w:space="0" w:color="000000"/>
              <w:right w:val="single" w:sz="4" w:space="0" w:color="000000"/>
            </w:tcBorders>
            <w:shd w:fill="C1E5F5"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Regulated investment company under the Code</w:t>
            </w:r>
          </w:p>
        </w:tc>
      </w:tr>
      <w:tr>
        <w:trPr/>
        <w:tc>
          <w:tcPr>
            <w:tcW w:w="144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SBA</w:t>
            </w:r>
          </w:p>
        </w:tc>
        <w:tc>
          <w:tcPr>
            <w:tcW w:w="87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 Small Business Administration</w:t>
            </w:r>
          </w:p>
        </w:tc>
      </w:tr>
      <w:tr>
        <w:trPr/>
        <w:tc>
          <w:tcPr>
            <w:tcW w:w="1445" w:type="dxa"/>
            <w:tcBorders>
              <w:left w:val="single" w:sz="4" w:space="0" w:color="000000"/>
              <w:bottom w:val="single" w:sz="4" w:space="0" w:color="000000"/>
              <w:right w:val="single" w:sz="4" w:space="0" w:color="000000"/>
            </w:tcBorders>
            <w:shd w:fill="C1E5F5"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SBIC</w:t>
            </w:r>
          </w:p>
        </w:tc>
        <w:tc>
          <w:tcPr>
            <w:tcW w:w="8760" w:type="dxa"/>
            <w:tcBorders>
              <w:bottom w:val="single" w:sz="4" w:space="0" w:color="000000"/>
              <w:right w:val="single" w:sz="4" w:space="0" w:color="000000"/>
            </w:tcBorders>
            <w:shd w:fill="C1E5F5"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fund licensed under the SBA Small Business Investment Company Program</w:t>
            </w:r>
          </w:p>
        </w:tc>
      </w:tr>
      <w:tr>
        <w:trPr/>
        <w:tc>
          <w:tcPr>
            <w:tcW w:w="144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SBIC I LP</w:t>
            </w:r>
          </w:p>
        </w:tc>
        <w:tc>
          <w:tcPr>
            <w:tcW w:w="87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OFS SBIC I, LP, a wholly owned subsidiary of the Company and former SBIC</w:t>
            </w:r>
          </w:p>
        </w:tc>
      </w:tr>
      <w:tr>
        <w:trPr/>
        <w:tc>
          <w:tcPr>
            <w:tcW w:w="1445" w:type="dxa"/>
            <w:tcBorders>
              <w:left w:val="single" w:sz="4" w:space="0" w:color="000000"/>
              <w:bottom w:val="single" w:sz="4" w:space="0" w:color="000000"/>
              <w:right w:val="single" w:sz="4" w:space="0" w:color="000000"/>
            </w:tcBorders>
            <w:shd w:fill="C1E5F5"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w:t>
            </w:r>
          </w:p>
        </w:tc>
        <w:tc>
          <w:tcPr>
            <w:tcW w:w="8760" w:type="dxa"/>
            <w:tcBorders>
              <w:bottom w:val="single" w:sz="4" w:space="0" w:color="000000"/>
              <w:right w:val="single" w:sz="4" w:space="0" w:color="000000"/>
            </w:tcBorders>
            <w:shd w:fill="C1E5F5"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 Securities and Exchange Commission</w:t>
            </w:r>
          </w:p>
        </w:tc>
      </w:tr>
      <w:tr>
        <w:trPr/>
        <w:tc>
          <w:tcPr>
            <w:tcW w:w="144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Securities Act</w:t>
            </w:r>
          </w:p>
        </w:tc>
        <w:tc>
          <w:tcPr>
            <w:tcW w:w="87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Securities Act of 1933, as amended</w:t>
            </w:r>
          </w:p>
        </w:tc>
      </w:tr>
      <w:tr>
        <w:trPr/>
        <w:tc>
          <w:tcPr>
            <w:tcW w:w="1445" w:type="dxa"/>
            <w:tcBorders>
              <w:left w:val="single" w:sz="4" w:space="0" w:color="000000"/>
              <w:bottom w:val="single" w:sz="4" w:space="0" w:color="000000"/>
              <w:right w:val="single" w:sz="4" w:space="0" w:color="000000"/>
            </w:tcBorders>
            <w:shd w:fill="C1E5F5"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SOFR</w:t>
            </w:r>
          </w:p>
        </w:tc>
        <w:tc>
          <w:tcPr>
            <w:tcW w:w="8760" w:type="dxa"/>
            <w:tcBorders>
              <w:bottom w:val="single" w:sz="4" w:space="0" w:color="000000"/>
              <w:right w:val="single" w:sz="4" w:space="0" w:color="000000"/>
            </w:tcBorders>
            <w:shd w:fill="C1E5F5"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Secured Overnight Financing Rate</w:t>
            </w:r>
          </w:p>
        </w:tc>
      </w:tr>
      <w:tr>
        <w:trPr/>
        <w:tc>
          <w:tcPr>
            <w:tcW w:w="144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Securities Purchase Agreement</w:t>
            </w:r>
          </w:p>
        </w:tc>
        <w:tc>
          <w:tcPr>
            <w:tcW w:w="87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 agreement between the Company and an institutional accredited investor dated August 8, 2025 in which the Company sold, in a private placement, the Unsecured Note Due August 2029</w:t>
            </w:r>
          </w:p>
        </w:tc>
      </w:tr>
      <w:tr>
        <w:trPr/>
        <w:tc>
          <w:tcPr>
            <w:tcW w:w="1445" w:type="dxa"/>
            <w:tcBorders>
              <w:left w:val="single" w:sz="4" w:space="0" w:color="000000"/>
              <w:bottom w:val="single" w:sz="4" w:space="0" w:color="000000"/>
              <w:right w:val="single" w:sz="4" w:space="0" w:color="000000"/>
            </w:tcBorders>
            <w:shd w:fill="C1E5F5"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Repurchase Program</w:t>
            </w:r>
          </w:p>
        </w:tc>
        <w:tc>
          <w:tcPr>
            <w:tcW w:w="8760" w:type="dxa"/>
            <w:tcBorders>
              <w:bottom w:val="single" w:sz="4" w:space="0" w:color="000000"/>
              <w:right w:val="single" w:sz="4" w:space="0" w:color="000000"/>
            </w:tcBorders>
            <w:shd w:fill="C1E5F5"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open market stock repurchase program for shares of the Company’s common stock under Rule 10b-18 of the Exchange Act</w:t>
            </w:r>
          </w:p>
        </w:tc>
      </w:tr>
      <w:tr>
        <w:trPr/>
        <w:tc>
          <w:tcPr>
            <w:tcW w:w="144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Finance Securities</w:t>
            </w:r>
          </w:p>
        </w:tc>
        <w:tc>
          <w:tcPr>
            <w:tcW w:w="87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 mezzanine debt, CLO subordinated notes and CLO loan accumulation facility securities</w:t>
            </w:r>
          </w:p>
        </w:tc>
      </w:tr>
      <w:tr>
        <w:trPr/>
        <w:tc>
          <w:tcPr>
            <w:tcW w:w="1445" w:type="dxa"/>
            <w:tcBorders>
              <w:left w:val="single" w:sz="4" w:space="0" w:color="000000"/>
              <w:bottom w:val="single" w:sz="4" w:space="0" w:color="000000"/>
              <w:right w:val="single" w:sz="4" w:space="0" w:color="000000"/>
            </w:tcBorders>
            <w:shd w:fill="C1E5F5"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Unsecured Notes</w:t>
            </w:r>
          </w:p>
        </w:tc>
        <w:tc>
          <w:tcPr>
            <w:tcW w:w="8760" w:type="dxa"/>
            <w:tcBorders>
              <w:bottom w:val="single" w:sz="4" w:space="0" w:color="000000"/>
              <w:right w:val="single" w:sz="4" w:space="0" w:color="000000"/>
            </w:tcBorders>
            <w:shd w:fill="C1E5F5" w:val="clear"/>
            <w:tcMar>
              <w:top w:w="0" w:type="dxa"/>
              <w:lef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The Unsecured Notes Due July 2028, the Unsecured Notes Due October 2028 and the Unsecured Note Due August 2029</w:t>
            </w:r>
          </w:p>
        </w:tc>
      </w:tr>
      <w:tr>
        <w:trPr/>
        <w:tc>
          <w:tcPr>
            <w:tcW w:w="144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Unsecured Notes Due February 2026</w:t>
            </w:r>
          </w:p>
        </w:tc>
        <w:tc>
          <w:tcPr>
            <w:tcW w:w="87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Company’s $125.0 million aggregate principal amount of 4.75% notes due February 10, 2026, which were partially redeemed on each of August 11, 2025, August 21, 2025 and December 30, 2025, and fully redeemed on February 9, 2026</w:t>
            </w:r>
          </w:p>
        </w:tc>
      </w:tr>
      <w:tr>
        <w:trPr/>
        <w:tc>
          <w:tcPr>
            <w:tcW w:w="1445" w:type="dxa"/>
            <w:tcBorders>
              <w:left w:val="single" w:sz="4" w:space="0" w:color="000000"/>
              <w:bottom w:val="single" w:sz="4" w:space="0" w:color="000000"/>
              <w:right w:val="single" w:sz="4" w:space="0" w:color="000000"/>
            </w:tcBorders>
            <w:shd w:fill="C1E5F5"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Unsecured Notes Due July 2028</w:t>
            </w:r>
          </w:p>
        </w:tc>
        <w:tc>
          <w:tcPr>
            <w:tcW w:w="8760" w:type="dxa"/>
            <w:tcBorders>
              <w:bottom w:val="single" w:sz="4" w:space="0" w:color="000000"/>
              <w:right w:val="single" w:sz="4" w:space="0" w:color="000000"/>
            </w:tcBorders>
            <w:shd w:fill="C1E5F5"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Company’s $69.0 million aggregate principal amount of 7.50% notes due July 31, 2028</w:t>
            </w:r>
          </w:p>
        </w:tc>
      </w:tr>
      <w:tr>
        <w:trPr/>
        <w:tc>
          <w:tcPr>
            <w:tcW w:w="144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Unsecured Notes Due October 2028</w:t>
            </w:r>
          </w:p>
        </w:tc>
        <w:tc>
          <w:tcPr>
            <w:tcW w:w="876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Company’s $55.0 million aggregate principal amount of 4.95% notes due October 31, 2028</w:t>
            </w:r>
          </w:p>
        </w:tc>
      </w:tr>
      <w:tr>
        <w:trPr/>
        <w:tc>
          <w:tcPr>
            <w:tcW w:w="1445" w:type="dxa"/>
            <w:tcBorders>
              <w:left w:val="single" w:sz="4" w:space="0" w:color="000000"/>
              <w:bottom w:val="single" w:sz="4" w:space="0" w:color="000000"/>
              <w:right w:val="single" w:sz="4" w:space="0" w:color="000000"/>
            </w:tcBorders>
            <w:shd w:fill="C1E5F5"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Unsecured Note Due August 2029</w:t>
            </w:r>
          </w:p>
        </w:tc>
        <w:tc>
          <w:tcPr>
            <w:tcW w:w="8760" w:type="dxa"/>
            <w:tcBorders>
              <w:bottom w:val="single" w:sz="4" w:space="0" w:color="000000"/>
              <w:right w:val="single" w:sz="4" w:space="0" w:color="000000"/>
            </w:tcBorders>
            <w:shd w:fill="C1E5F5"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Company’s $25.0 million principal amount 8.00% note due August 8, 2029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and experience operating a BDC or maintaining our tax treatment as a RIC under Subchapter M of the Code;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dependence on key personnel;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maintain or develop referral relationships;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replicate historical results;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ability of OFS Advisor to identify, invest in and monitor companies that meet our investment criteria;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belief that the carrying amounts of our financial instruments, such as cash, cash equivalents, receivables and payables approximate the fair value of such items due to the short maturity of such instruments and that such financial instruments are held with high credit quality institutions to mitigate the risk of loss due to credit risk;</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actual and potential conflicts of interest with OFS Advisor and other affiliates of OFSAM Holdings;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constraint on investment due to access to material nonpublic information;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restrictions on our ability to enter into transactions with our affiliates;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use of borrowed money to finance a portion of our investments;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incur additional leverage pursuant to Section 61(a)(2) of the 1940 Act and the impact of such leverage on our net investment income and results of operations;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competition for investment opportunities;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belief that the seniority of our debt investments in a borrower’s capital structure may provide greater downside protection against adverse economic changes, including those caused by the impacts of interest rate and inflation rate changes, the ongoing war between Russia and Ukraine, the escalated armed conflict and heightened regional tensions in the Middle East, activity in South America, instability in the U.S. and international banking systems, the agenda of the U.S. presidential administration, including the impact of tariff enactment and tax reductions, trade disputes with other countries, the risk of recession or the impact of the prolonged shutdown of U.S. government services, and related market volatility on our business, our portfolio companies, our industry and the global economy;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percentage of investments that will bear interest on a floating rate or fixed rate basis;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holding period of our investments;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impact of alternative reference rates on our business, including potential additional interest rate changes approved by the U.S. Federal Reserve, which may impact our investment income, cost of funding and the valuation of our investments;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ability to raise debt or equity capital as a BDC;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timing, form and amount of any distributions from our portfolio companies;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impact of a protracted decline in the liquidity of credit markets on our business;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general economy and its impact on the industries in which we invest;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impact of current political, economic and industry conditions, including changes in the interest rate environment, inflation, significant market volatility, supply chain and labor market disruptions, including those as a result of strikes, work stoppages or accidents, resource shortages and other conditions affecting the financial and capital markets, which, in turn, impacts our business prospects and the prospects of our portfolio companies;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general uncertainty surrounding the financial and political stability of the United States, the United Kingdom, the Middle East, the European Union, South America and China;</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ability to consummate credit facilities in the future on commercially reasonable terms, if at all;</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belief that we have sufficient levels of liquidity to support our existing portfolio companies;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belief that our cash and cash equivalent balances are not exposed to any significant credit risk;</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impact of information technology system failures, data security breaches, data privacy compliance, network disruptions, cybersecurity attacks and the increasing use of artificial intelligence and machine learning technology;</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need and availability of additional capital on favorable terms to finance growth given our expectation to distribute substantially all of our net ordinary income and net realized capital gains to our stockholders;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fluctuation of the fair value of our investments due to the inherent uncertainty of determining the fair value of investments that do not have a readily available market value;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effect of new or modified laws or regulations, including accounting pronouncements and rule issuances, governing our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we believe that the assumptions on which these forward-looking statements are based are reasonable, any of those assumptions could prove to be inaccurate, and as a result,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among others, those described or identified in “Part I—Item 1A. Risk Factors” in our Annual Report on Form 10-K for the year ended December 31, 2025, filed on March 3, 2026. You should not place undue reliance on these forward-looking statements, which apply only as of the date of this Quarterly Report on Form 10-Q.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based the forward-looking statements on information available to us on the date of this Quarterly Report on Form 10-Q. Except as required by the federal securities laws, we undertake no obligation to revise or update any forward-looking statements,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 The forward-looking statements and projections contained in this Quarterly Report on Form 10-Q are excluded from the safe harbor protection provided by Section 21E of the Exchange 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PART I. FINANCIAL INFORMATION</w:t>
      </w:r>
    </w:p>
    <w:p>
      <w:pPr>
        <w:pStyle w:val="TextBody"/>
        <w:bidi w:val="0"/>
        <w:spacing w:before="280" w:after="283"/>
        <w:jc w:val="left"/>
        <w:rPr>
          <w:rFonts w:ascii="Times New Roman" w:hAnsi="Times New Roman"/>
          <w:b/>
          <w:color w:val="000000"/>
          <w:sz w:val="20"/>
        </w:rPr>
      </w:pPr>
      <w:bookmarkStart w:id="2" w:name="item_1"/>
      <w:bookmarkEnd w:id="2"/>
      <w:r>
        <w:rPr>
          <w:rFonts w:ascii="Times New Roman" w:hAnsi="Times New Roman"/>
          <w:b/>
          <w:color w:val="000000"/>
          <w:sz w:val="20"/>
        </w:rPr>
        <w:t>Item 1. Consolidated Financial Statements</w:t>
      </w:r>
    </w:p>
    <w:p>
      <w:pPr>
        <w:pStyle w:val="TextBody"/>
        <w:bidi w:val="0"/>
        <w:spacing w:before="100" w:after="283"/>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b/>
          <w:color w:val="000000"/>
          <w:sz w:val="20"/>
        </w:rPr>
      </w:pPr>
      <w:bookmarkStart w:id="3" w:name="assets_and_liabilities"/>
      <w:bookmarkEnd w:id="3"/>
      <w:r>
        <w:rPr>
          <w:rFonts w:ascii="Times New Roman" w:hAnsi="Times New Roman"/>
          <w:b/>
          <w:color w:val="000000"/>
          <w:sz w:val="20"/>
        </w:rPr>
        <w:t>Consolidated Statements of Assets and Liabilities (unaudited)</w:t>
      </w:r>
    </w:p>
    <w:p>
      <w:pPr>
        <w:pStyle w:val="TextBody"/>
        <w:bidi w:val="0"/>
        <w:jc w:val="left"/>
        <w:rPr>
          <w:rFonts w:ascii="Times New Roman" w:hAnsi="Times New Roman"/>
          <w:b/>
          <w:color w:val="000000"/>
          <w:sz w:val="20"/>
        </w:rPr>
      </w:pPr>
      <w:r>
        <w:rPr>
          <w:rFonts w:ascii="Times New Roman" w:hAnsi="Times New Roman"/>
          <w:b/>
          <w:color w:val="000000"/>
          <w:sz w:val="20"/>
        </w:rPr>
        <w:t>(Dollar amounts in thousands, except per share data)</w:t>
      </w:r>
    </w:p>
    <w:p>
      <w:pPr>
        <w:pStyle w:val="TextBody"/>
        <w:bidi w:val="0"/>
        <w:jc w:val="left"/>
        <w:rPr/>
      </w:pPr>
      <w:r>
        <w:rPr/>
        <w:t> </w:t>
      </w:r>
    </w:p>
    <w:tbl>
      <w:tblPr>
        <w:tblW w:w="10000" w:type="dxa"/>
        <w:jc w:val="left"/>
        <w:tblInd w:w="0" w:type="dxa"/>
        <w:tblLayout w:type="fixed"/>
        <w:tblCellMar>
          <w:top w:w="28" w:type="dxa"/>
          <w:left w:w="28" w:type="dxa"/>
          <w:bottom w:w="28" w:type="dxa"/>
          <w:right w:w="28" w:type="dxa"/>
        </w:tblCellMar>
      </w:tblPr>
      <w:tblGrid>
        <w:gridCol w:w="6451"/>
        <w:gridCol w:w="146"/>
        <w:gridCol w:w="203"/>
        <w:gridCol w:w="952"/>
        <w:gridCol w:w="166"/>
        <w:gridCol w:w="146"/>
        <w:gridCol w:w="272"/>
        <w:gridCol w:w="1273"/>
        <w:gridCol w:w="391"/>
      </w:tblGrid>
      <w:tr>
        <w:trPr/>
        <w:tc>
          <w:tcPr>
            <w:tcW w:w="6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Non-control/non-affiliate investments (amortized cost of $247,171</w:t>
            </w:r>
            <w:r>
              <w:rPr>
                <w:rFonts w:ascii="Times New Roman" w:hAnsi="Times New Roman"/>
                <w:color w:val="000000"/>
                <w:sz w:val="20"/>
              </w:rPr>
              <w:t> </w:t>
            </w:r>
            <w:r>
              <w:rPr>
                <w:rFonts w:ascii="Times New Roman" w:hAnsi="Times New Roman"/>
                <w:color w:val="000000"/>
                <w:sz w:val="18"/>
              </w:rPr>
              <w:t>and $300,748,</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242,070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Affiliate investments (amortized cost of $28,666</w:t>
            </w:r>
            <w:r>
              <w:rPr>
                <w:rFonts w:ascii="Times New Roman" w:hAnsi="Times New Roman"/>
                <w:color w:val="000000"/>
                <w:sz w:val="20"/>
              </w:rPr>
              <w:t> </w:t>
            </w:r>
            <w:r>
              <w:rPr>
                <w:rFonts w:ascii="Times New Roman" w:hAnsi="Times New Roman"/>
                <w:color w:val="000000"/>
                <w:sz w:val="18"/>
              </w:rPr>
              <w:t>and $27,652,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99,945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Total investments, at fair value (amortized cost of $275,837</w:t>
            </w:r>
            <w:r>
              <w:rPr>
                <w:rFonts w:ascii="Times New Roman" w:hAnsi="Times New Roman"/>
                <w:color w:val="000000"/>
                <w:sz w:val="20"/>
              </w:rPr>
              <w:t> </w:t>
            </w:r>
            <w:r>
              <w:rPr>
                <w:rFonts w:ascii="Times New Roman" w:hAnsi="Times New Roman"/>
                <w:color w:val="000000"/>
                <w:sz w:val="18"/>
              </w:rPr>
              <w:t>and $328,400,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297,756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342,015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and dividends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Receivable for investments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304,464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346,706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Revolving lines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Unsecured Notes (net of deferred debt issuance costs of $2,308</w:t>
            </w:r>
            <w:r>
              <w:rPr>
                <w:rFonts w:ascii="Times New Roman" w:hAnsi="Times New Roman"/>
                <w:color w:val="000000"/>
                <w:sz w:val="20"/>
              </w:rPr>
              <w:t> </w:t>
            </w:r>
            <w:r>
              <w:rPr>
                <w:rFonts w:ascii="Times New Roman" w:hAnsi="Times New Roman"/>
                <w:color w:val="000000"/>
                <w:sz w:val="18"/>
              </w:rPr>
              <w:t>and $2,812,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162,188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Payable to adviser and affiliates (Note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191,852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223,518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Preferred stock, par value of $0.01</w:t>
            </w:r>
            <w:r>
              <w:rPr>
                <w:rFonts w:ascii="Times New Roman" w:hAnsi="Times New Roman"/>
                <w:color w:val="000000"/>
                <w:sz w:val="20"/>
              </w:rPr>
              <w:t> </w:t>
            </w:r>
            <w:r>
              <w:rPr>
                <w:rFonts w:ascii="Times New Roman" w:hAnsi="Times New Roman"/>
                <w:color w:val="000000"/>
                <w:sz w:val="18"/>
              </w:rPr>
              <w:t>per share, 2,000,000</w:t>
            </w:r>
            <w:r>
              <w:rPr>
                <w:rFonts w:ascii="Times New Roman" w:hAnsi="Times New Roman"/>
                <w:color w:val="000000"/>
                <w:sz w:val="20"/>
              </w:rPr>
              <w:t> </w:t>
            </w:r>
            <w:r>
              <w:rPr>
                <w:rFonts w:ascii="Times New Roman" w:hAnsi="Times New Roman"/>
                <w:color w:val="000000"/>
                <w:sz w:val="18"/>
              </w:rPr>
              <w:t>shares authorized, -0- shares</w:t>
              <w:br/>
              <w:t>   issued and outstanding as of June 30, 2026 and December 31, 2025,</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par value of $0.01</w:t>
            </w:r>
            <w:r>
              <w:rPr>
                <w:rFonts w:ascii="Times New Roman" w:hAnsi="Times New Roman"/>
                <w:color w:val="000000"/>
                <w:sz w:val="20"/>
              </w:rPr>
              <w:t> </w:t>
            </w:r>
            <w:r>
              <w:rPr>
                <w:rFonts w:ascii="Times New Roman" w:hAnsi="Times New Roman"/>
                <w:color w:val="000000"/>
                <w:sz w:val="18"/>
              </w:rPr>
              <w:t>per share, 100,000,000</w:t>
            </w:r>
            <w:r>
              <w:rPr>
                <w:rFonts w:ascii="Times New Roman" w:hAnsi="Times New Roman"/>
                <w:color w:val="000000"/>
                <w:sz w:val="20"/>
              </w:rPr>
              <w:t> </w:t>
            </w:r>
            <w:r>
              <w:rPr>
                <w:rFonts w:ascii="Times New Roman" w:hAnsi="Times New Roman"/>
                <w:color w:val="000000"/>
                <w:sz w:val="18"/>
              </w:rPr>
              <w:t>shares authorized,</w:t>
              <w:br/>
              <w:t>   13,398,078</w:t>
            </w:r>
            <w:r>
              <w:rPr>
                <w:rFonts w:ascii="Times New Roman" w:hAnsi="Times New Roman"/>
                <w:color w:val="000000"/>
                <w:sz w:val="20"/>
              </w:rPr>
              <w:t> </w:t>
            </w:r>
            <w:r>
              <w:rPr>
                <w:rFonts w:ascii="Times New Roman" w:hAnsi="Times New Roman"/>
                <w:color w:val="000000"/>
                <w:sz w:val="18"/>
              </w:rPr>
              <w:t>shares issued and outstanding as of June 30, 2026 and</w:t>
              <w:br/>
              <w:t>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Paid-in capital in excess of par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174,195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accumulated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112,612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123,188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and net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304,464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346,706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Number of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13,398,078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13,398,078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asset value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See Notes to Consolidated Financial Statements (unaudited).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b/>
          <w:color w:val="000000"/>
          <w:sz w:val="20"/>
        </w:rPr>
      </w:pPr>
      <w:bookmarkStart w:id="4" w:name="consolidated_statements_of_operations"/>
      <w:bookmarkEnd w:id="4"/>
      <w:r>
        <w:rPr>
          <w:rFonts w:ascii="Times New Roman" w:hAnsi="Times New Roman"/>
          <w:b/>
          <w:color w:val="000000"/>
          <w:sz w:val="20"/>
        </w:rPr>
        <w:t>Consolidated Statements of Operations (unaudited)</w:t>
      </w:r>
    </w:p>
    <w:p>
      <w:pPr>
        <w:pStyle w:val="TextBody"/>
        <w:bidi w:val="0"/>
        <w:jc w:val="left"/>
        <w:rPr>
          <w:rFonts w:ascii="Times New Roman" w:hAnsi="Times New Roman"/>
          <w:b/>
          <w:color w:val="000000"/>
          <w:sz w:val="20"/>
        </w:rPr>
      </w:pPr>
      <w:r>
        <w:rPr>
          <w:rFonts w:ascii="Times New Roman" w:hAnsi="Times New Roman"/>
          <w:b/>
          <w:color w:val="000000"/>
          <w:sz w:val="20"/>
        </w:rPr>
        <w:t>(Dollar amounts 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84"/>
        <w:gridCol w:w="146"/>
        <w:gridCol w:w="196"/>
        <w:gridCol w:w="916"/>
        <w:gridCol w:w="166"/>
        <w:gridCol w:w="146"/>
        <w:gridCol w:w="196"/>
        <w:gridCol w:w="916"/>
        <w:gridCol w:w="166"/>
        <w:gridCol w:w="146"/>
        <w:gridCol w:w="196"/>
        <w:gridCol w:w="916"/>
        <w:gridCol w:w="166"/>
        <w:gridCol w:w="146"/>
        <w:gridCol w:w="196"/>
        <w:gridCol w:w="916"/>
        <w:gridCol w:w="591"/>
      </w:tblGrid>
      <w:tr>
        <w:trPr/>
        <w:tc>
          <w:tcPr>
            <w:tcW w:w="40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19,201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19,201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Payment-in-kind interest and 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payment-in-kind 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20,771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Base management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Incentive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Administration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18"/>
              </w:rPr>
              <w:t>Total expenses before base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14,023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Base management fee waiver (see Note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expenses, net of base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realized and unrealized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realized loss on 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unrealized appreciation (depreciation) on 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unrealized appreciation (depreciation) on 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tax (expense) benefit on net unrealized appreciation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gain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increase (decrease) in net assets resulting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(16,918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Earnings (loss) per common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and diluted 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13,398,078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13,398,078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13,398,078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13,398,078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See Notes to Consolidated Financial Statements (unaudited).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b/>
          <w:color w:val="000000"/>
          <w:sz w:val="20"/>
        </w:rPr>
      </w:pPr>
      <w:bookmarkStart w:id="5" w:name="statements_of_changes_in_net_assets"/>
      <w:bookmarkEnd w:id="5"/>
      <w:r>
        <w:rPr>
          <w:rFonts w:ascii="Times New Roman" w:hAnsi="Times New Roman"/>
          <w:b/>
          <w:color w:val="000000"/>
          <w:sz w:val="20"/>
        </w:rPr>
        <w:t>Consolidated Statements of Changes in Net Assets (unaudited)</w:t>
      </w:r>
    </w:p>
    <w:p>
      <w:pPr>
        <w:pStyle w:val="TextBody"/>
        <w:bidi w:val="0"/>
        <w:jc w:val="left"/>
        <w:rPr>
          <w:rFonts w:ascii="Times New Roman" w:hAnsi="Times New Roman"/>
          <w:b/>
          <w:color w:val="000000"/>
          <w:sz w:val="20"/>
        </w:rPr>
      </w:pPr>
      <w:r>
        <w:rPr>
          <w:rFonts w:ascii="Times New Roman" w:hAnsi="Times New Roman"/>
          <w:b/>
          <w:color w:val="000000"/>
          <w:sz w:val="20"/>
        </w:rPr>
        <w:t>(Dollar amounts 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24"/>
        <w:gridCol w:w="146"/>
        <w:gridCol w:w="232"/>
        <w:gridCol w:w="553"/>
        <w:gridCol w:w="146"/>
        <w:gridCol w:w="146"/>
        <w:gridCol w:w="196"/>
        <w:gridCol w:w="346"/>
        <w:gridCol w:w="146"/>
        <w:gridCol w:w="146"/>
        <w:gridCol w:w="146"/>
        <w:gridCol w:w="916"/>
        <w:gridCol w:w="146"/>
        <w:gridCol w:w="146"/>
        <w:gridCol w:w="196"/>
        <w:gridCol w:w="376"/>
        <w:gridCol w:w="146"/>
        <w:gridCol w:w="146"/>
        <w:gridCol w:w="203"/>
        <w:gridCol w:w="718"/>
        <w:gridCol w:w="146"/>
        <w:gridCol w:w="146"/>
        <w:gridCol w:w="247"/>
        <w:gridCol w:w="834"/>
        <w:gridCol w:w="166"/>
        <w:gridCol w:w="146"/>
        <w:gridCol w:w="196"/>
        <w:gridCol w:w="691"/>
        <w:gridCol w:w="413"/>
      </w:tblGrid>
      <w:tr>
        <w:trPr/>
        <w:tc>
          <w:tcPr>
            <w:tcW w:w="20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br/>
              <w:t>capital in</w:t>
              <w:br/>
              <w:t>excess of 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accumulated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net</w:t>
              <w:br/>
              <w:t>assets</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13,398,078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172,225</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realized loss on investments, net of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0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unrealized depreciation on investments, net of deferred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(16,888</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Distributions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(9,111</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for the six month period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(26,029</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13,398,078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184,912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146,196</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13,398,078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160,383</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net assets resulting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investment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realized loss on investments, net of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unrealized depreciation on investments, net of 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(8,723</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 declared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for the three month period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(14,187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13,398,078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184,912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146,196</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13,398,078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123,188</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realized loss on investments, net of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(17,319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0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unrealized appreciation on investments, net of deferred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7,956</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Distributions declared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(4,555</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for the six month period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13,398,078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174,195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112,612</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13,398,078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109,322</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realized loss on investments, net of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(6,018</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0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unrealized appreciation on investments, net of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10,577</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for the three month period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3,290</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13,398,078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174,195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112,612</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See Notes to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sz w:val="20"/>
        </w:rPr>
      </w:pPr>
      <w:bookmarkStart w:id="6" w:name="cashflow"/>
      <w:bookmarkEnd w:id="6"/>
      <w:r>
        <w:rPr>
          <w:rFonts w:ascii="Times New Roman" w:hAnsi="Times New Roman"/>
          <w:b/>
          <w:color w:val="000000"/>
          <w:sz w:val="20"/>
        </w:rPr>
        <w:t>Consolidated Statements of Cash Flows</w:t>
      </w:r>
      <w:r>
        <w:rPr>
          <w:rFonts w:ascii="Times New Roman" w:hAnsi="Times New Roman"/>
          <w:color w:val="000000"/>
          <w:sz w:val="20"/>
        </w:rPr>
        <w:t xml:space="preserve"> </w:t>
      </w:r>
      <w:r>
        <w:rPr>
          <w:rFonts w:ascii="Times New Roman" w:hAnsi="Times New Roman"/>
          <w:b/>
          <w:color w:val="000000"/>
          <w:sz w:val="20"/>
        </w:rPr>
        <w:t>(unaudited)</w:t>
      </w:r>
    </w:p>
    <w:p>
      <w:pPr>
        <w:pStyle w:val="TextBody"/>
        <w:bidi w:val="0"/>
        <w:jc w:val="left"/>
        <w:rPr>
          <w:rFonts w:ascii="Times New Roman" w:hAnsi="Times New Roman"/>
          <w:b/>
          <w:color w:val="000000"/>
          <w:sz w:val="20"/>
        </w:rPr>
      </w:pPr>
      <w:r>
        <w:rPr>
          <w:rFonts w:ascii="Times New Roman" w:hAnsi="Times New Roman"/>
          <w:b/>
          <w:color w:val="000000"/>
          <w:sz w:val="20"/>
        </w:rPr>
        <w:t>(Dollar amounts in thousands)</w:t>
      </w:r>
    </w:p>
    <w:p>
      <w:pPr>
        <w:pStyle w:val="TextBody"/>
        <w:bidi w:val="0"/>
        <w:jc w:val="left"/>
        <w:rPr/>
      </w:pPr>
      <w:r>
        <w:rPr/>
        <w:t> </w:t>
      </w:r>
    </w:p>
    <w:tbl>
      <w:tblPr>
        <w:tblW w:w="9292" w:type="dxa"/>
        <w:jc w:val="left"/>
        <w:tblInd w:w="0" w:type="dxa"/>
        <w:tblLayout w:type="fixed"/>
        <w:tblCellMar>
          <w:top w:w="28" w:type="dxa"/>
          <w:left w:w="28" w:type="dxa"/>
          <w:bottom w:w="28" w:type="dxa"/>
          <w:right w:w="28" w:type="dxa"/>
        </w:tblCellMar>
      </w:tblPr>
      <w:tblGrid>
        <w:gridCol w:w="6101"/>
        <w:gridCol w:w="146"/>
        <w:gridCol w:w="216"/>
        <w:gridCol w:w="729"/>
        <w:gridCol w:w="183"/>
        <w:gridCol w:w="161"/>
        <w:gridCol w:w="216"/>
        <w:gridCol w:w="729"/>
        <w:gridCol w:w="811"/>
      </w:tblGrid>
      <w:tr>
        <w:trPr/>
        <w:tc>
          <w:tcPr>
            <w:tcW w:w="6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(16,918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decrease in net assets resulting from</w:t>
              <w:br/>
              <w:t>   operations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realized loss on investments, net of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17,319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6,778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unrealized (appreciation) depreciation on investments, net of 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16,888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Net Loan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Amendment fees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Payment-in-kind 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(1,186</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Accretion of interest income on Structured Finance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deferred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Purchase and origination of portfolio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(22,918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principal payments on portfolio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9,955</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sale or redemption of portfolio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30,512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18,413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distributions received from portfolio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4,859</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 and dividend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Receivable for investments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9,247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Payable to adviser and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Payable for investments 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39,145</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18,231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Distributions paid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(9,111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Borrowings under revolving lines of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75,200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15,250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Repayments under revolving lines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(93,850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(20,200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Redemption of Unsecured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(38,522</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(14,061</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3,359</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3,982</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10,238</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6,711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Notes to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b/>
          <w:color w:val="000000"/>
          <w:sz w:val="20"/>
        </w:rPr>
      </w:pPr>
      <w:r>
        <w:rPr>
          <w:rFonts w:ascii="Times New Roman" w:hAnsi="Times New Roman"/>
          <w:b/>
          <w:color w:val="000000"/>
          <w:sz w:val="20"/>
        </w:rPr>
        <w:t>Consolidated Schedule of Investments (unaudited)</w:t>
      </w:r>
    </w:p>
    <w:p>
      <w:pPr>
        <w:pStyle w:val="TextBody"/>
        <w:bidi w:val="0"/>
        <w:jc w:val="left"/>
        <w:rPr>
          <w:rFonts w:ascii="Times New Roman" w:hAnsi="Times New Roman"/>
          <w:b/>
          <w:color w:val="000000"/>
          <w:sz w:val="20"/>
        </w:rPr>
      </w:pPr>
      <w:r>
        <w:rPr>
          <w:rFonts w:ascii="Times New Roman" w:hAnsi="Times New Roman"/>
          <w:b/>
          <w:color w:val="000000"/>
          <w:sz w:val="20"/>
        </w:rPr>
        <w:t>June 30, 2026</w:t>
      </w:r>
    </w:p>
    <w:p>
      <w:pPr>
        <w:pStyle w:val="TextBody"/>
        <w:bidi w:val="0"/>
        <w:jc w:val="left"/>
        <w:rPr>
          <w:rFonts w:ascii="Times New Roman" w:hAnsi="Times New Roman"/>
          <w:b/>
          <w:color w:val="000000"/>
          <w:sz w:val="20"/>
        </w:rPr>
      </w:pPr>
      <w:r>
        <w:rPr>
          <w:rFonts w:ascii="Times New Roman" w:hAnsi="Times New Roman"/>
          <w:b/>
          <w:color w:val="000000"/>
          <w:sz w:val="20"/>
        </w:rPr>
        <w:t>(Dollar amounts in thousands)</w:t>
      </w:r>
    </w:p>
    <w:p>
      <w:pPr>
        <w:pStyle w:val="TextBody"/>
        <w:bidi w:val="0"/>
        <w:jc w:val="left"/>
        <w:rPr/>
      </w:pPr>
      <w:r>
        <w:rPr/>
        <w:t> </w:t>
      </w:r>
    </w:p>
    <w:p>
      <w:pPr>
        <w:pStyle w:val="TextBody"/>
        <w:bidi w:val="0"/>
        <w:jc w:val="left"/>
        <w:rPr/>
      </w:pPr>
      <w:bookmarkStart w:id="7" w:name="consolidatedscheduleofinvestmentscy"/>
      <w:bookmarkEnd w:id="7"/>
      <w:r>
        <w:rPr/>
        <w:t> </w:t>
      </w:r>
    </w:p>
    <w:tbl>
      <w:tblPr>
        <w:tblW w:w="11080" w:type="dxa"/>
        <w:jc w:val="left"/>
        <w:tblInd w:w="0" w:type="dxa"/>
        <w:tblLayout w:type="fixed"/>
        <w:tblCellMar>
          <w:top w:w="28" w:type="dxa"/>
          <w:left w:w="28" w:type="dxa"/>
          <w:bottom w:w="28" w:type="dxa"/>
          <w:right w:w="28" w:type="dxa"/>
        </w:tblCellMar>
      </w:tblPr>
      <w:tblGrid>
        <w:gridCol w:w="1186"/>
        <w:gridCol w:w="146"/>
        <w:gridCol w:w="1216"/>
        <w:gridCol w:w="146"/>
        <w:gridCol w:w="691"/>
        <w:gridCol w:w="146"/>
        <w:gridCol w:w="511"/>
        <w:gridCol w:w="691"/>
        <w:gridCol w:w="146"/>
        <w:gridCol w:w="916"/>
        <w:gridCol w:w="146"/>
        <w:gridCol w:w="766"/>
        <w:gridCol w:w="146"/>
        <w:gridCol w:w="212"/>
        <w:gridCol w:w="554"/>
        <w:gridCol w:w="146"/>
        <w:gridCol w:w="146"/>
        <w:gridCol w:w="241"/>
        <w:gridCol w:w="630"/>
        <w:gridCol w:w="146"/>
        <w:gridCol w:w="146"/>
        <w:gridCol w:w="196"/>
        <w:gridCol w:w="511"/>
        <w:gridCol w:w="146"/>
        <w:gridCol w:w="146"/>
        <w:gridCol w:w="196"/>
        <w:gridCol w:w="465"/>
        <w:gridCol w:w="346"/>
      </w:tblGrid>
      <w:tr>
        <w:trPr/>
        <w:tc>
          <w:tcPr>
            <w:tcW w:w="11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2" w:type="dxa"/>
            <w:tcBorders/>
            <w:shd w:fill="FFFFFF" w:val="clear"/>
            <w:vAlign w:val="center"/>
          </w:tcPr>
          <w:p>
            <w:pPr>
              <w:pStyle w:val="TableContents"/>
              <w:bidi w:val="0"/>
              <w:spacing w:before="0" w:after="283"/>
              <w:jc w:val="left"/>
              <w:rPr>
                <w:sz w:val="4"/>
                <w:szCs w:val="4"/>
              </w:rPr>
            </w:pPr>
            <w:r>
              <w:rPr>
                <w:sz w:val="4"/>
                <w:szCs w:val="4"/>
              </w:rPr>
            </w:r>
          </w:p>
        </w:tc>
        <w:tc>
          <w:tcPr>
            <w:tcW w:w="55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1" w:type="dxa"/>
            <w:tcBorders/>
            <w:shd w:fill="FFFFFF" w:val="clear"/>
            <w:vAlign w:val="center"/>
          </w:tcPr>
          <w:p>
            <w:pPr>
              <w:pStyle w:val="TableContents"/>
              <w:bidi w:val="0"/>
              <w:spacing w:before="0" w:after="283"/>
              <w:jc w:val="left"/>
              <w:rPr>
                <w:sz w:val="4"/>
                <w:szCs w:val="4"/>
              </w:rPr>
            </w:pPr>
            <w:r>
              <w:rPr>
                <w:sz w:val="4"/>
                <w:szCs w:val="4"/>
              </w:rPr>
            </w:r>
          </w:p>
        </w:tc>
        <w:tc>
          <w:tcPr>
            <w:tcW w:w="63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465" w:type="dxa"/>
            <w:tcBorders/>
            <w:shd w:fill="FFFFFF" w:val="clear"/>
            <w:vAlign w:val="center"/>
          </w:tcPr>
          <w:p>
            <w:pPr>
              <w:pStyle w:val="TableContents"/>
              <w:bidi w:val="0"/>
              <w:spacing w:before="0" w:after="283"/>
              <w:jc w:val="left"/>
              <w:rPr>
                <w:sz w:val="4"/>
                <w:szCs w:val="4"/>
              </w:rPr>
            </w:pPr>
            <w:r>
              <w:rPr>
                <w:sz w:val="4"/>
                <w:szCs w:val="4"/>
              </w:rPr>
            </w:r>
          </w:p>
        </w:tc>
        <w:tc>
          <w:tcPr>
            <w:tcW w:w="346" w:type="dxa"/>
            <w:tcBorders/>
            <w:shd w:fill="FFFFFF" w:val="clear"/>
            <w:vAlign w:val="center"/>
          </w:tcPr>
          <w:p>
            <w:pPr>
              <w:pStyle w:val="TableContents"/>
              <w:bidi w:val="0"/>
              <w:spacing w:before="0" w:after="283"/>
              <w:jc w:val="left"/>
              <w:rPr>
                <w:sz w:val="4"/>
                <w:szCs w:val="4"/>
              </w:rPr>
            </w:pPr>
            <w:r>
              <w:rPr>
                <w:sz w:val="4"/>
                <w:szCs w:val="4"/>
              </w:rPr>
            </w:r>
          </w:p>
        </w:tc>
      </w:tr>
      <w:tr>
        <w:trPr/>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 (1)</w:t>
              <w:b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Rate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Spread</w:t>
              <w:br/>
              <w:t>Above Index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of Net</w:t>
              <w:br/>
              <w:t>Assets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Debt and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24 Seven Holdco, LLC (15)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Temporary Help Services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10.88</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7.13</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1/28/2022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11/16/2027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AIDC IntermediateCo 2, LLC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Computer Systems Design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9.14</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5.50</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7/22/2022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7/22/2027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9.14</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5.50</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7/31/2023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Allen Media, LLC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Cable and Other Subscription Programming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9.38</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5.50</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3/2/2021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2/10/2027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Asurion, LLC (14) (15)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Communication Equipment Repair and Maintenance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7.91</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4.25</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9/19/2030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Avison Young Inc. (16)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Nonresidential Property Managers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(11) (15)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12.26% PIK</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8.50</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12/18/2025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(11)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5.15% cash / 5.96%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7.35</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(11) (15)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11.43%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7.50</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11/25/2021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3/12/2029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(11)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12.26%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8.50</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(6) (10) (11) (15)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11.41%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7.50</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11/25/2021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3/12/2029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Equity (1,185</w:t>
            </w:r>
            <w:r>
              <w:rPr>
                <w:rFonts w:ascii="Times New Roman" w:hAnsi="Times New Roman"/>
                <w:color w:val="000000"/>
                <w:sz w:val="20"/>
              </w:rPr>
              <w:t> </w:t>
            </w:r>
            <w:r>
              <w:rPr>
                <w:rFonts w:ascii="Times New Roman" w:hAnsi="Times New Roman"/>
                <w:color w:val="000000"/>
                <w:sz w:val="16"/>
              </w:rPr>
              <w:t>Class B units)</w:t>
              <w:br/>
              <w:t>   (10) (13)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Preferred Equity (1,715</w:t>
            </w:r>
            <w:r>
              <w:rPr>
                <w:rFonts w:ascii="Times New Roman" w:hAnsi="Times New Roman"/>
                <w:color w:val="000000"/>
                <w:sz w:val="20"/>
              </w:rPr>
              <w:t> </w:t>
            </w:r>
            <w:r>
              <w:rPr>
                <w:rFonts w:ascii="Times New Roman" w:hAnsi="Times New Roman"/>
                <w:color w:val="000000"/>
                <w:sz w:val="16"/>
              </w:rPr>
              <w:t>Class A</w:t>
              <w:br/>
              <w:t>   units) 12.5% PIK (10) (13) (15)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BayMark Health Services, Inc. (6) (15)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Outpatient Mental Health and Substance Abuse Centers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14.49</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10.50</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14.49</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10.50</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6/10/2021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6/11/2028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3,988</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Blackhawk Network Holdings, Inc. (14) (15)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Computer and Computer Peripheral Equipment and Software Merchant Wholesalers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7.14</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3.50</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3/25/2026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b/>
          <w:color w:val="000000"/>
          <w:sz w:val="20"/>
        </w:rPr>
      </w:pPr>
      <w:r>
        <w:rPr>
          <w:rFonts w:ascii="Times New Roman" w:hAnsi="Times New Roman"/>
          <w:b/>
          <w:color w:val="000000"/>
          <w:sz w:val="20"/>
        </w:rPr>
        <w:t>Consolidated Schedule of Investments - Continued (unaudited)</w:t>
      </w:r>
    </w:p>
    <w:p>
      <w:pPr>
        <w:pStyle w:val="TextBody"/>
        <w:bidi w:val="0"/>
        <w:jc w:val="left"/>
        <w:rPr>
          <w:rFonts w:ascii="Times New Roman" w:hAnsi="Times New Roman"/>
          <w:b/>
          <w:color w:val="000000"/>
          <w:sz w:val="20"/>
        </w:rPr>
      </w:pPr>
      <w:r>
        <w:rPr>
          <w:rFonts w:ascii="Times New Roman" w:hAnsi="Times New Roman"/>
          <w:b/>
          <w:color w:val="000000"/>
          <w:sz w:val="20"/>
        </w:rPr>
        <w:t>June 30, 2026</w:t>
      </w:r>
    </w:p>
    <w:p>
      <w:pPr>
        <w:pStyle w:val="TextBody"/>
        <w:bidi w:val="0"/>
        <w:jc w:val="left"/>
        <w:rPr>
          <w:rFonts w:ascii="Times New Roman" w:hAnsi="Times New Roman"/>
          <w:b/>
          <w:color w:val="000000"/>
          <w:sz w:val="20"/>
        </w:rPr>
      </w:pPr>
      <w:r>
        <w:rPr>
          <w:rFonts w:ascii="Times New Roman" w:hAnsi="Times New Roman"/>
          <w:b/>
          <w:color w:val="000000"/>
          <w:sz w:val="20"/>
        </w:rPr>
        <w:t>(Dollar amounts in thousands)</w:t>
      </w:r>
    </w:p>
    <w:p>
      <w:pPr>
        <w:pStyle w:val="TextBody"/>
        <w:bidi w:val="0"/>
        <w:jc w:val="left"/>
        <w:rPr/>
      </w:pPr>
      <w:r>
        <w:rPr/>
        <w:t> </w:t>
      </w:r>
    </w:p>
    <w:tbl>
      <w:tblPr>
        <w:tblW w:w="11145" w:type="dxa"/>
        <w:jc w:val="left"/>
        <w:tblInd w:w="0" w:type="dxa"/>
        <w:tblLayout w:type="fixed"/>
        <w:tblCellMar>
          <w:top w:w="28" w:type="dxa"/>
          <w:left w:w="28" w:type="dxa"/>
          <w:bottom w:w="28" w:type="dxa"/>
          <w:right w:w="28" w:type="dxa"/>
        </w:tblCellMar>
      </w:tblPr>
      <w:tblGrid>
        <w:gridCol w:w="1336"/>
        <w:gridCol w:w="146"/>
        <w:gridCol w:w="1141"/>
        <w:gridCol w:w="146"/>
        <w:gridCol w:w="691"/>
        <w:gridCol w:w="146"/>
        <w:gridCol w:w="511"/>
        <w:gridCol w:w="601"/>
        <w:gridCol w:w="146"/>
        <w:gridCol w:w="916"/>
        <w:gridCol w:w="146"/>
        <w:gridCol w:w="766"/>
        <w:gridCol w:w="146"/>
        <w:gridCol w:w="170"/>
        <w:gridCol w:w="596"/>
        <w:gridCol w:w="146"/>
        <w:gridCol w:w="146"/>
        <w:gridCol w:w="170"/>
        <w:gridCol w:w="701"/>
        <w:gridCol w:w="166"/>
        <w:gridCol w:w="146"/>
        <w:gridCol w:w="146"/>
        <w:gridCol w:w="601"/>
        <w:gridCol w:w="166"/>
        <w:gridCol w:w="146"/>
        <w:gridCol w:w="196"/>
        <w:gridCol w:w="465"/>
        <w:gridCol w:w="346"/>
      </w:tblGrid>
      <w:tr>
        <w:trPr/>
        <w:tc>
          <w:tcPr>
            <w:tcW w:w="13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sz w:val="4"/>
                <w:szCs w:val="4"/>
              </w:rPr>
            </w:pPr>
            <w:r>
              <w:rPr>
                <w:sz w:val="4"/>
                <w:szCs w:val="4"/>
              </w:rPr>
            </w:r>
          </w:p>
        </w:tc>
        <w:tc>
          <w:tcPr>
            <w:tcW w:w="5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sz w:val="4"/>
                <w:szCs w:val="4"/>
              </w:rPr>
            </w:pPr>
            <w:r>
              <w:rPr>
                <w:sz w:val="4"/>
                <w:szCs w:val="4"/>
              </w:rPr>
            </w:r>
          </w:p>
        </w:tc>
        <w:tc>
          <w:tcPr>
            <w:tcW w:w="70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465" w:type="dxa"/>
            <w:tcBorders/>
            <w:shd w:fill="FFFFFF" w:val="clear"/>
            <w:vAlign w:val="center"/>
          </w:tcPr>
          <w:p>
            <w:pPr>
              <w:pStyle w:val="TableContents"/>
              <w:bidi w:val="0"/>
              <w:spacing w:before="0" w:after="283"/>
              <w:jc w:val="left"/>
              <w:rPr>
                <w:sz w:val="4"/>
                <w:szCs w:val="4"/>
              </w:rPr>
            </w:pPr>
            <w:r>
              <w:rPr>
                <w:sz w:val="4"/>
                <w:szCs w:val="4"/>
              </w:rPr>
            </w:r>
          </w:p>
        </w:tc>
        <w:tc>
          <w:tcPr>
            <w:tcW w:w="346" w:type="dxa"/>
            <w:tcBorders/>
            <w:shd w:fill="FFFFFF" w:val="clear"/>
            <w:vAlign w:val="center"/>
          </w:tcPr>
          <w:p>
            <w:pPr>
              <w:pStyle w:val="TableContents"/>
              <w:bidi w:val="0"/>
              <w:spacing w:before="0" w:after="283"/>
              <w:jc w:val="left"/>
              <w:rPr>
                <w:sz w:val="4"/>
                <w:szCs w:val="4"/>
              </w:rPr>
            </w:pPr>
            <w:r>
              <w:rPr>
                <w:sz w:val="4"/>
                <w:szCs w:val="4"/>
              </w:rPr>
            </w:r>
          </w:p>
        </w:tc>
      </w:tr>
      <w:tr>
        <w:trPr/>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 (1)</w:t>
              <w:b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Rate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Spread</w:t>
              <w:br/>
              <w:t>Above Index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of Net</w:t>
              <w:br/>
              <w:t>Assets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Boca Home Care Holdings, Inc. (20)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Services for the Elderly and Persons with Disabilities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10.41</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6.50</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2/25/2022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2/25/2029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(Revolver)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10.41</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6.50</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2/25/2029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Equity (1,290</w:t>
            </w:r>
            <w:r>
              <w:rPr>
                <w:rFonts w:ascii="Times New Roman" w:hAnsi="Times New Roman"/>
                <w:color w:val="000000"/>
                <w:sz w:val="20"/>
              </w:rPr>
              <w:t> </w:t>
            </w:r>
            <w:r>
              <w:rPr>
                <w:rFonts w:ascii="Times New Roman" w:hAnsi="Times New Roman"/>
                <w:color w:val="000000"/>
                <w:sz w:val="16"/>
              </w:rPr>
              <w:t>Class A units)</w:t>
              <w:br/>
              <w:t>   (10) (13)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2/25/2022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Preferred Equity (3,446</w:t>
            </w:r>
            <w:r>
              <w:rPr>
                <w:rFonts w:ascii="Times New Roman" w:hAnsi="Times New Roman"/>
                <w:color w:val="000000"/>
                <w:sz w:val="20"/>
              </w:rPr>
              <w:t> </w:t>
            </w:r>
            <w:r>
              <w:rPr>
                <w:rFonts w:ascii="Times New Roman" w:hAnsi="Times New Roman"/>
                <w:color w:val="000000"/>
                <w:sz w:val="16"/>
              </w:rPr>
              <w:t>Class A</w:t>
              <w:br/>
              <w:t>   Units), 12% cash / 2%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10,690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10,204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Clevertech Bidco,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Commodity Contracts Dealing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10.63</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6.75</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11/3/2023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12/30/2027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(Revolver)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12.50</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Prime+</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5.75</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12/30/2027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Constellis Holdings, LLC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Justice, Public Order, and Safety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Equity (20,628</w:t>
            </w:r>
            <w:r>
              <w:rPr>
                <w:rFonts w:ascii="Times New Roman" w:hAnsi="Times New Roman"/>
                <w:color w:val="000000"/>
                <w:sz w:val="20"/>
              </w:rPr>
              <w:t> </w:t>
            </w:r>
            <w:r>
              <w:rPr>
                <w:rFonts w:ascii="Times New Roman" w:hAnsi="Times New Roman"/>
                <w:color w:val="000000"/>
                <w:sz w:val="16"/>
              </w:rPr>
              <w:t>common shares)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3/27/2020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ESP Associates, Inc.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Heavy and Civil Engineering Construction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8.98</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5.25</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4/14/2026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(5) (15)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8.97</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5.25</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4/14/2026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4/14/2031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(Revolver)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n/m (18)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5.25</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4/14/2026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Excelin Home Health, LLC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Home Health Care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18.00% PIK</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10/25/2018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xml:space="preserve">Heritage Grocers Group, LLC (F/K/A </w:t>
              <w:br/>
              <w:t>   Tony's Fresh Market / Cardenas</w:t>
              <w:br/>
              <w:t>   Markets) (14) (15)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Supermarkets and Other Grocery (except Convenience) Stores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10.58</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6.75</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Honor HN Buyer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Services for the Elderly and Persons with Disabilities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9.63</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5.75</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10/15/2021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10/15/2027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9.63</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5.75</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10/15/2021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9.63</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5.75</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10/15/2027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(Delayed Draw) (5)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9.63</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5.75</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10/15/2024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(Revolver) (5)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n/m (18)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Prime+</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4.75</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10/15/2021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10/15/2027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 Love Produce,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Spice and Extract Manufacturing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9.83</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6.00</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3/24/2026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(Delayed Draw) (5) (15)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n/m (18)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6.00</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3/24/2026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3/24/2031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(Revolver)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9.83</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6.00</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3/24/2026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3/24/2031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b/>
          <w:color w:val="000000"/>
          <w:sz w:val="20"/>
        </w:rPr>
      </w:pPr>
      <w:r>
        <w:rPr>
          <w:rFonts w:ascii="Times New Roman" w:hAnsi="Times New Roman"/>
          <w:b/>
          <w:color w:val="000000"/>
          <w:sz w:val="20"/>
        </w:rPr>
        <w:t>Consolidated Schedule of Investments - Continued (unaudited)</w:t>
      </w:r>
    </w:p>
    <w:p>
      <w:pPr>
        <w:pStyle w:val="TextBody"/>
        <w:bidi w:val="0"/>
        <w:jc w:val="left"/>
        <w:rPr>
          <w:rFonts w:ascii="Times New Roman" w:hAnsi="Times New Roman"/>
          <w:b/>
          <w:color w:val="000000"/>
          <w:sz w:val="20"/>
        </w:rPr>
      </w:pPr>
      <w:r>
        <w:rPr>
          <w:rFonts w:ascii="Times New Roman" w:hAnsi="Times New Roman"/>
          <w:b/>
          <w:color w:val="000000"/>
          <w:sz w:val="20"/>
        </w:rPr>
        <w:t>June 30, 2026</w:t>
      </w:r>
    </w:p>
    <w:p>
      <w:pPr>
        <w:pStyle w:val="TextBody"/>
        <w:bidi w:val="0"/>
        <w:jc w:val="left"/>
        <w:rPr>
          <w:rFonts w:ascii="Times New Roman" w:hAnsi="Times New Roman"/>
          <w:b/>
          <w:color w:val="000000"/>
          <w:sz w:val="20"/>
        </w:rPr>
      </w:pPr>
      <w:r>
        <w:rPr>
          <w:rFonts w:ascii="Times New Roman" w:hAnsi="Times New Roman"/>
          <w:b/>
          <w:color w:val="000000"/>
          <w:sz w:val="20"/>
        </w:rPr>
        <w:t>(Dollar amounts in thousands)</w:t>
      </w:r>
    </w:p>
    <w:p>
      <w:pPr>
        <w:pStyle w:val="TextBody"/>
        <w:bidi w:val="0"/>
        <w:jc w:val="left"/>
        <w:rPr/>
      </w:pPr>
      <w:r>
        <w:rPr/>
        <w:t> </w:t>
      </w:r>
    </w:p>
    <w:tbl>
      <w:tblPr>
        <w:tblW w:w="10755" w:type="dxa"/>
        <w:jc w:val="left"/>
        <w:tblInd w:w="0" w:type="dxa"/>
        <w:tblLayout w:type="fixed"/>
        <w:tblCellMar>
          <w:top w:w="28" w:type="dxa"/>
          <w:left w:w="28" w:type="dxa"/>
          <w:bottom w:w="28" w:type="dxa"/>
          <w:right w:w="28" w:type="dxa"/>
        </w:tblCellMar>
      </w:tblPr>
      <w:tblGrid>
        <w:gridCol w:w="1141"/>
        <w:gridCol w:w="146"/>
        <w:gridCol w:w="946"/>
        <w:gridCol w:w="146"/>
        <w:gridCol w:w="691"/>
        <w:gridCol w:w="146"/>
        <w:gridCol w:w="511"/>
        <w:gridCol w:w="601"/>
        <w:gridCol w:w="146"/>
        <w:gridCol w:w="916"/>
        <w:gridCol w:w="146"/>
        <w:gridCol w:w="766"/>
        <w:gridCol w:w="146"/>
        <w:gridCol w:w="149"/>
        <w:gridCol w:w="617"/>
        <w:gridCol w:w="146"/>
        <w:gridCol w:w="146"/>
        <w:gridCol w:w="170"/>
        <w:gridCol w:w="701"/>
        <w:gridCol w:w="166"/>
        <w:gridCol w:w="146"/>
        <w:gridCol w:w="146"/>
        <w:gridCol w:w="601"/>
        <w:gridCol w:w="166"/>
        <w:gridCol w:w="146"/>
        <w:gridCol w:w="170"/>
        <w:gridCol w:w="491"/>
        <w:gridCol w:w="346"/>
      </w:tblGrid>
      <w:tr>
        <w:trPr/>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9" w:type="dxa"/>
            <w:tcBorders/>
            <w:shd w:fill="FFFFFF" w:val="clear"/>
            <w:vAlign w:val="center"/>
          </w:tcPr>
          <w:p>
            <w:pPr>
              <w:pStyle w:val="TableContents"/>
              <w:bidi w:val="0"/>
              <w:spacing w:before="0" w:after="283"/>
              <w:jc w:val="left"/>
              <w:rPr>
                <w:sz w:val="4"/>
                <w:szCs w:val="4"/>
              </w:rPr>
            </w:pPr>
            <w:r>
              <w:rPr>
                <w:sz w:val="4"/>
                <w:szCs w:val="4"/>
              </w:rPr>
            </w:r>
          </w:p>
        </w:tc>
        <w:tc>
          <w:tcPr>
            <w:tcW w:w="61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sz w:val="4"/>
                <w:szCs w:val="4"/>
              </w:rPr>
            </w:pPr>
            <w:r>
              <w:rPr>
                <w:sz w:val="4"/>
                <w:szCs w:val="4"/>
              </w:rPr>
            </w:r>
          </w:p>
        </w:tc>
        <w:tc>
          <w:tcPr>
            <w:tcW w:w="70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c>
          <w:tcPr>
            <w:tcW w:w="346" w:type="dxa"/>
            <w:tcBorders/>
            <w:shd w:fill="FFFFFF" w:val="clear"/>
            <w:vAlign w:val="center"/>
          </w:tcPr>
          <w:p>
            <w:pPr>
              <w:pStyle w:val="TableContents"/>
              <w:bidi w:val="0"/>
              <w:spacing w:before="0" w:after="283"/>
              <w:jc w:val="left"/>
              <w:rPr>
                <w:sz w:val="4"/>
                <w:szCs w:val="4"/>
              </w:rPr>
            </w:pPr>
            <w:r>
              <w:rPr>
                <w:sz w:val="4"/>
                <w:szCs w:val="4"/>
              </w:rPr>
            </w:r>
          </w:p>
        </w:tc>
      </w:tr>
      <w:tr>
        <w:trPr/>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 (1)</w:t>
              <w:b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Rate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Spread</w:t>
              <w:br/>
              <w:t>Above Index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of Net</w:t>
              <w:br/>
              <w:t>Assets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Idera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Computer and Computer Peripheral Equipment and Software Merchant Wholesalers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10.56</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6.75</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1/27/2022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3/2/2029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Inergex Holdings, LLC (8) (20)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Computer Related Services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12.88</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7.00</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(Revolver) (11)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12.88</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7.00</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10/1/2018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2,813</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2,813</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Integrated Energy Services,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Computer Systems Design Services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9.23</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5.50</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12/19/2030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(Delayed Draw) (5)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n/m (18)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5.50</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12/18/2025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12/19/2030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(Revolver)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9.17</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5.50</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12/19/2030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JP Intermediate B,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Drugs and Druggists' Sundries Merchant Wholesalers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10.73</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7.00</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(6) (11)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9.23</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5.50</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1/14/2021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Equity (12,663</w:t>
            </w:r>
            <w:r>
              <w:rPr>
                <w:rFonts w:ascii="Times New Roman" w:hAnsi="Times New Roman"/>
                <w:color w:val="000000"/>
                <w:sz w:val="20"/>
              </w:rPr>
              <w:t> </w:t>
            </w:r>
            <w:r>
              <w:rPr>
                <w:rFonts w:ascii="Times New Roman" w:hAnsi="Times New Roman"/>
                <w:color w:val="000000"/>
                <w:sz w:val="16"/>
              </w:rPr>
              <w:t>Units) (10) (15)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2,992</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Kreg LLC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Ambulatory Health Care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(11) (15)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10.13% cash / 0.50% PIK</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6.25</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16,886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16,683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10.13</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6.25</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18,211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M2S Group Intermediate Holdings Inc. (14)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Plastics Packaging Film and Sheet (including Laminated)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8.41</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4.75</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10/28/2025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8/25/2031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Medrina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 Other Outpatient Care Centers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9.66</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6.00</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9.63</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6.00</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(Revolver)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n/m (18)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6.00</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Metasource, LLC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 Other Business Support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10.24% cash / 0.50% PIK</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6.25</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5/17/2022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5/17/2027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b/>
          <w:color w:val="000000"/>
          <w:sz w:val="20"/>
        </w:rPr>
      </w:pPr>
      <w:r>
        <w:rPr>
          <w:rFonts w:ascii="Times New Roman" w:hAnsi="Times New Roman"/>
          <w:b/>
          <w:color w:val="000000"/>
          <w:sz w:val="20"/>
        </w:rPr>
        <w:t>Consolidated Schedule of Investments - Continued (unaudited)</w:t>
      </w:r>
    </w:p>
    <w:p>
      <w:pPr>
        <w:pStyle w:val="TextBody"/>
        <w:bidi w:val="0"/>
        <w:jc w:val="left"/>
        <w:rPr>
          <w:rFonts w:ascii="Times New Roman" w:hAnsi="Times New Roman"/>
          <w:b/>
          <w:color w:val="000000"/>
          <w:sz w:val="20"/>
        </w:rPr>
      </w:pPr>
      <w:r>
        <w:rPr>
          <w:rFonts w:ascii="Times New Roman" w:hAnsi="Times New Roman"/>
          <w:b/>
          <w:color w:val="000000"/>
          <w:sz w:val="20"/>
        </w:rPr>
        <w:t>June 30, 2026</w:t>
      </w:r>
    </w:p>
    <w:p>
      <w:pPr>
        <w:pStyle w:val="TextBody"/>
        <w:bidi w:val="0"/>
        <w:jc w:val="left"/>
        <w:rPr>
          <w:rFonts w:ascii="Times New Roman" w:hAnsi="Times New Roman"/>
          <w:b/>
          <w:color w:val="000000"/>
          <w:sz w:val="20"/>
        </w:rPr>
      </w:pPr>
      <w:r>
        <w:rPr>
          <w:rFonts w:ascii="Times New Roman" w:hAnsi="Times New Roman"/>
          <w:b/>
          <w:color w:val="000000"/>
          <w:sz w:val="20"/>
        </w:rPr>
        <w:t>(Dollar amounts in thousands)</w:t>
      </w:r>
    </w:p>
    <w:p>
      <w:pPr>
        <w:pStyle w:val="TextBody"/>
        <w:bidi w:val="0"/>
        <w:jc w:val="left"/>
        <w:rPr/>
      </w:pPr>
      <w:r>
        <w:rPr/>
        <w:t> </w:t>
      </w:r>
    </w:p>
    <w:tbl>
      <w:tblPr>
        <w:tblW w:w="10965" w:type="dxa"/>
        <w:jc w:val="left"/>
        <w:tblInd w:w="0" w:type="dxa"/>
        <w:tblLayout w:type="fixed"/>
        <w:tblCellMar>
          <w:top w:w="28" w:type="dxa"/>
          <w:left w:w="28" w:type="dxa"/>
          <w:bottom w:w="28" w:type="dxa"/>
          <w:right w:w="28" w:type="dxa"/>
        </w:tblCellMar>
      </w:tblPr>
      <w:tblGrid>
        <w:gridCol w:w="1156"/>
        <w:gridCol w:w="146"/>
        <w:gridCol w:w="1141"/>
        <w:gridCol w:w="146"/>
        <w:gridCol w:w="691"/>
        <w:gridCol w:w="146"/>
        <w:gridCol w:w="511"/>
        <w:gridCol w:w="601"/>
        <w:gridCol w:w="146"/>
        <w:gridCol w:w="916"/>
        <w:gridCol w:w="146"/>
        <w:gridCol w:w="766"/>
        <w:gridCol w:w="146"/>
        <w:gridCol w:w="149"/>
        <w:gridCol w:w="617"/>
        <w:gridCol w:w="146"/>
        <w:gridCol w:w="146"/>
        <w:gridCol w:w="170"/>
        <w:gridCol w:w="701"/>
        <w:gridCol w:w="166"/>
        <w:gridCol w:w="146"/>
        <w:gridCol w:w="146"/>
        <w:gridCol w:w="601"/>
        <w:gridCol w:w="166"/>
        <w:gridCol w:w="146"/>
        <w:gridCol w:w="196"/>
        <w:gridCol w:w="465"/>
        <w:gridCol w:w="346"/>
      </w:tblGrid>
      <w:tr>
        <w:trPr/>
        <w:tc>
          <w:tcPr>
            <w:tcW w:w="11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9" w:type="dxa"/>
            <w:tcBorders/>
            <w:shd w:fill="FFFFFF" w:val="clear"/>
            <w:vAlign w:val="center"/>
          </w:tcPr>
          <w:p>
            <w:pPr>
              <w:pStyle w:val="TableContents"/>
              <w:bidi w:val="0"/>
              <w:spacing w:before="0" w:after="283"/>
              <w:jc w:val="left"/>
              <w:rPr>
                <w:sz w:val="4"/>
                <w:szCs w:val="4"/>
              </w:rPr>
            </w:pPr>
            <w:r>
              <w:rPr>
                <w:sz w:val="4"/>
                <w:szCs w:val="4"/>
              </w:rPr>
            </w:r>
          </w:p>
        </w:tc>
        <w:tc>
          <w:tcPr>
            <w:tcW w:w="61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sz w:val="4"/>
                <w:szCs w:val="4"/>
              </w:rPr>
            </w:pPr>
            <w:r>
              <w:rPr>
                <w:sz w:val="4"/>
                <w:szCs w:val="4"/>
              </w:rPr>
            </w:r>
          </w:p>
        </w:tc>
        <w:tc>
          <w:tcPr>
            <w:tcW w:w="70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465" w:type="dxa"/>
            <w:tcBorders/>
            <w:shd w:fill="FFFFFF" w:val="clear"/>
            <w:vAlign w:val="center"/>
          </w:tcPr>
          <w:p>
            <w:pPr>
              <w:pStyle w:val="TableContents"/>
              <w:bidi w:val="0"/>
              <w:spacing w:before="0" w:after="283"/>
              <w:jc w:val="left"/>
              <w:rPr>
                <w:sz w:val="4"/>
                <w:szCs w:val="4"/>
              </w:rPr>
            </w:pPr>
            <w:r>
              <w:rPr>
                <w:sz w:val="4"/>
                <w:szCs w:val="4"/>
              </w:rPr>
            </w:r>
          </w:p>
        </w:tc>
        <w:tc>
          <w:tcPr>
            <w:tcW w:w="346" w:type="dxa"/>
            <w:tcBorders/>
            <w:shd w:fill="FFFFFF" w:val="clear"/>
            <w:vAlign w:val="center"/>
          </w:tcPr>
          <w:p>
            <w:pPr>
              <w:pStyle w:val="TableContents"/>
              <w:bidi w:val="0"/>
              <w:spacing w:before="0" w:after="283"/>
              <w:jc w:val="left"/>
              <w:rPr>
                <w:sz w:val="4"/>
                <w:szCs w:val="4"/>
              </w:rPr>
            </w:pPr>
            <w:r>
              <w:rPr>
                <w:sz w:val="4"/>
                <w:szCs w:val="4"/>
              </w:rPr>
            </w:r>
          </w:p>
        </w:tc>
      </w:tr>
      <w:tr>
        <w:trPr/>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 (1)</w:t>
              <w:b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Rate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Spread</w:t>
              <w:br/>
              <w:t>Above Index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of Net</w:t>
              <w:br/>
              <w:t>Assets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MP Design,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Architectural Services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8.98</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5.25</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6/9/2026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6/9/2031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(Revolver) (5)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n/m (18)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5.25</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6/9/2026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6/9/2031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One GI LLC (6)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Offices of Other Holding Companies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(11)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10.48%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6.75</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12/13/2021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(11) (15)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10.48% PIK</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6.75</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12/13/2021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8/31/2026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(Revolver)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10.48%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6.75</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12/13/2021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13,086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12,532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10,364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Planet Bingo, LLC (F/K/A 3rd Rock</w:t>
              <w:br/>
              <w:t>   Gaming Holdings, LLC)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Software Publishers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6.50</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3/13/2018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16,648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14,113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7,758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PM Acquisition LLC</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 Other General Merchandise Stores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Equity (499</w:t>
            </w:r>
            <w:r>
              <w:rPr>
                <w:rFonts w:ascii="Times New Roman" w:hAnsi="Times New Roman"/>
                <w:color w:val="000000"/>
                <w:sz w:val="20"/>
              </w:rPr>
              <w:t> </w:t>
            </w:r>
            <w:r>
              <w:rPr>
                <w:rFonts w:ascii="Times New Roman" w:hAnsi="Times New Roman"/>
                <w:color w:val="000000"/>
                <w:sz w:val="16"/>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PSB Group, LLC (20)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Lessors of Nonfinancial Intangible Assets (except Copyrighted Works)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10.39</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6.75</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4/17/2025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4/17/2030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7,842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7,812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7,803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(Revolver)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n/m (18)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6.75</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4/17/2030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7,842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7,808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7,799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Redstone Holdco 2 LP (F/K/A RSA</w:t>
              <w:br/>
              <w:t>   Security)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Computer and Computer Peripheral Equipment and Software Merchant Wholesalers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8.41</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4.75</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4/16/2021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9.16</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5.50</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RideNow Group, Inc. (F/K/A. RumbleOn,</w:t>
              <w:br/>
              <w:t>   Inc.) (15) (16)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Industrial Machinery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10.68% cash / 1.00% PIK</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7.75</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8/31/2021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10.68% cash / 1.00%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7.75</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Warrants (warrants to purchase up to</w:t>
              <w:br/>
              <w:t>   $73</w:t>
            </w:r>
            <w:r>
              <w:rPr>
                <w:rFonts w:ascii="Times New Roman" w:hAnsi="Times New Roman"/>
                <w:color w:val="000000"/>
                <w:sz w:val="20"/>
              </w:rPr>
              <w:t> </w:t>
            </w:r>
            <w:r>
              <w:rPr>
                <w:rFonts w:ascii="Times New Roman" w:hAnsi="Times New Roman"/>
                <w:color w:val="000000"/>
                <w:sz w:val="16"/>
              </w:rPr>
              <w:t>in common stock) (10)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8/31/2021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8/10/2030</w:t>
              <w:br/>
              <w:t>(12)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RPLF Holdings, LLC (10) (13)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Software Publishers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Equity (345,339</w:t>
            </w:r>
            <w:r>
              <w:rPr>
                <w:rFonts w:ascii="Times New Roman" w:hAnsi="Times New Roman"/>
                <w:color w:val="000000"/>
                <w:sz w:val="20"/>
              </w:rPr>
              <w:t> </w:t>
            </w:r>
            <w:r>
              <w:rPr>
                <w:rFonts w:ascii="Times New Roman" w:hAnsi="Times New Roman"/>
                <w:color w:val="000000"/>
                <w:sz w:val="16"/>
              </w:rPr>
              <w:t>Class A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1/17/2018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Sentry Centers Holdings, LLC (10)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Convention and Trade Show Organizers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Preferred Equity (1,603</w:t>
            </w:r>
            <w:r>
              <w:rPr>
                <w:rFonts w:ascii="Times New Roman" w:hAnsi="Times New Roman"/>
                <w:color w:val="000000"/>
                <w:sz w:val="20"/>
              </w:rPr>
              <w:t> </w:t>
            </w:r>
            <w:r>
              <w:rPr>
                <w:rFonts w:ascii="Times New Roman" w:hAnsi="Times New Roman"/>
                <w:color w:val="000000"/>
                <w:sz w:val="16"/>
              </w:rPr>
              <w:t>Series B units)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9/4/2020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b/>
          <w:color w:val="000000"/>
          <w:sz w:val="20"/>
        </w:rPr>
      </w:pPr>
      <w:r>
        <w:rPr>
          <w:rFonts w:ascii="Times New Roman" w:hAnsi="Times New Roman"/>
          <w:b/>
          <w:color w:val="000000"/>
          <w:sz w:val="20"/>
        </w:rPr>
        <w:t>Consolidated Schedule of Investments - Continued (unaudited)</w:t>
      </w:r>
    </w:p>
    <w:p>
      <w:pPr>
        <w:pStyle w:val="TextBody"/>
        <w:bidi w:val="0"/>
        <w:jc w:val="left"/>
        <w:rPr>
          <w:rFonts w:ascii="Times New Roman" w:hAnsi="Times New Roman"/>
          <w:b/>
          <w:color w:val="000000"/>
          <w:sz w:val="20"/>
        </w:rPr>
      </w:pPr>
      <w:r>
        <w:rPr>
          <w:rFonts w:ascii="Times New Roman" w:hAnsi="Times New Roman"/>
          <w:b/>
          <w:color w:val="000000"/>
          <w:sz w:val="20"/>
        </w:rPr>
        <w:t>June 30, 2026</w:t>
      </w:r>
    </w:p>
    <w:p>
      <w:pPr>
        <w:pStyle w:val="TextBody"/>
        <w:bidi w:val="0"/>
        <w:jc w:val="left"/>
        <w:rPr>
          <w:rFonts w:ascii="Times New Roman" w:hAnsi="Times New Roman"/>
          <w:b/>
          <w:color w:val="000000"/>
          <w:sz w:val="20"/>
        </w:rPr>
      </w:pPr>
      <w:r>
        <w:rPr>
          <w:rFonts w:ascii="Times New Roman" w:hAnsi="Times New Roman"/>
          <w:b/>
          <w:color w:val="000000"/>
          <w:sz w:val="20"/>
        </w:rPr>
        <w:t>(Dollar amounts in thousands)</w:t>
      </w:r>
    </w:p>
    <w:p>
      <w:pPr>
        <w:pStyle w:val="TextBody"/>
        <w:bidi w:val="0"/>
        <w:jc w:val="left"/>
        <w:rPr/>
      </w:pPr>
      <w:r>
        <w:rPr/>
        <w:t> </w:t>
      </w:r>
    </w:p>
    <w:tbl>
      <w:tblPr>
        <w:tblW w:w="11157" w:type="dxa"/>
        <w:jc w:val="left"/>
        <w:tblInd w:w="0" w:type="dxa"/>
        <w:tblLayout w:type="fixed"/>
        <w:tblCellMar>
          <w:top w:w="28" w:type="dxa"/>
          <w:left w:w="28" w:type="dxa"/>
          <w:bottom w:w="28" w:type="dxa"/>
          <w:right w:w="28" w:type="dxa"/>
        </w:tblCellMar>
      </w:tblPr>
      <w:tblGrid>
        <w:gridCol w:w="1111"/>
        <w:gridCol w:w="146"/>
        <w:gridCol w:w="1141"/>
        <w:gridCol w:w="146"/>
        <w:gridCol w:w="691"/>
        <w:gridCol w:w="146"/>
        <w:gridCol w:w="511"/>
        <w:gridCol w:w="601"/>
        <w:gridCol w:w="146"/>
        <w:gridCol w:w="916"/>
        <w:gridCol w:w="146"/>
        <w:gridCol w:w="766"/>
        <w:gridCol w:w="146"/>
        <w:gridCol w:w="196"/>
        <w:gridCol w:w="691"/>
        <w:gridCol w:w="146"/>
        <w:gridCol w:w="146"/>
        <w:gridCol w:w="196"/>
        <w:gridCol w:w="691"/>
        <w:gridCol w:w="146"/>
        <w:gridCol w:w="146"/>
        <w:gridCol w:w="196"/>
        <w:gridCol w:w="691"/>
        <w:gridCol w:w="146"/>
        <w:gridCol w:w="146"/>
        <w:gridCol w:w="146"/>
        <w:gridCol w:w="515"/>
        <w:gridCol w:w="346"/>
      </w:tblGrid>
      <w:tr>
        <w:trPr/>
        <w:tc>
          <w:tcPr>
            <w:tcW w:w="11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5" w:type="dxa"/>
            <w:tcBorders/>
            <w:shd w:fill="FFFFFF" w:val="clear"/>
            <w:vAlign w:val="center"/>
          </w:tcPr>
          <w:p>
            <w:pPr>
              <w:pStyle w:val="TableContents"/>
              <w:bidi w:val="0"/>
              <w:spacing w:before="0" w:after="283"/>
              <w:jc w:val="left"/>
              <w:rPr>
                <w:sz w:val="4"/>
                <w:szCs w:val="4"/>
              </w:rPr>
            </w:pPr>
            <w:r>
              <w:rPr>
                <w:sz w:val="4"/>
                <w:szCs w:val="4"/>
              </w:rPr>
            </w:r>
          </w:p>
        </w:tc>
        <w:tc>
          <w:tcPr>
            <w:tcW w:w="346" w:type="dxa"/>
            <w:tcBorders/>
            <w:shd w:fill="FFFFFF" w:val="clear"/>
            <w:vAlign w:val="center"/>
          </w:tcPr>
          <w:p>
            <w:pPr>
              <w:pStyle w:val="TableContents"/>
              <w:bidi w:val="0"/>
              <w:spacing w:before="0" w:after="283"/>
              <w:jc w:val="left"/>
              <w:rPr>
                <w:sz w:val="4"/>
                <w:szCs w:val="4"/>
              </w:rPr>
            </w:pPr>
            <w:r>
              <w:rPr>
                <w:sz w:val="4"/>
                <w:szCs w:val="4"/>
              </w:rPr>
            </w:r>
          </w:p>
        </w:tc>
      </w:tr>
      <w:tr>
        <w:trPr/>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 (1)</w:t>
              <w:b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Rate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Spread</w:t>
              <w:br/>
              <w:t>Above Index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of Net</w:t>
              <w:br/>
              <w:t>Assets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Signal Parent, Inc. (14) (15)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New Single-Family Housing Construction (except For-Sale Builders)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7.26</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3.50</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3/25/2021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4/3/2028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SS Acquisition, LLC (8) (20)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Sports and Recreation Instruction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9.48</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5.75</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16,652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(Revolver)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9.48</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5.75</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Staples, Inc. (14)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Business to Business Electronic Markets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9.41</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5.75</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5/23/2024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9/4/2029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TalentSmart Holdings, LLC (10) (13) (20)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and Management Development Training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Equity (670</w:t>
            </w:r>
            <w:r>
              <w:rPr>
                <w:rFonts w:ascii="Times New Roman" w:hAnsi="Times New Roman"/>
                <w:color w:val="000000"/>
                <w:sz w:val="20"/>
              </w:rPr>
              <w:t> </w:t>
            </w:r>
            <w:r>
              <w:rPr>
                <w:rFonts w:ascii="Times New Roman" w:hAnsi="Times New Roman"/>
                <w:color w:val="000000"/>
                <w:sz w:val="16"/>
              </w:rPr>
              <w:t>Class A</w:t>
              <w:br/>
              <w: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10/11/2019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Tolemar Acquisition,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Motorcycle, Bicycle, and Parts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9.74% cash / 1.25% PIK</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6.00</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10/14/2021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10/14/2027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14,494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(Revolver)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9.74</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6.00</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10/14/2021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10/14/2027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15,470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Debt and Equity Investments -</w:t>
              <w:br/>
              <w:t>   Non- control/Non-affiliate</w:t>
              <w:br/>
              <w: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182,512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186,880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147,858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Structured Finance Securities (16)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Apex Credit CLO 2020 Ltd. (7)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Notes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5.31</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11/16/2020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4/20/2035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Apex Credit CLO 2021 Ltd. (4) (7) (9)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5/28/2021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7/18/2034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Apex Credit CLO 2022-1 Ltd. (7)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Notes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13.93</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4/28/2022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10/22/2038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BlueMountain CLO XXXV Ltd. (7) (9)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13.63</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10/22/2037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b/>
          <w:color w:val="000000"/>
          <w:sz w:val="20"/>
        </w:rPr>
      </w:pPr>
      <w:r>
        <w:rPr>
          <w:rFonts w:ascii="Times New Roman" w:hAnsi="Times New Roman"/>
          <w:b/>
          <w:color w:val="000000"/>
          <w:sz w:val="20"/>
        </w:rPr>
        <w:t>Consolidated Schedule of Investments - Continued (unaudited)</w:t>
      </w:r>
    </w:p>
    <w:p>
      <w:pPr>
        <w:pStyle w:val="TextBody"/>
        <w:bidi w:val="0"/>
        <w:jc w:val="left"/>
        <w:rPr>
          <w:rFonts w:ascii="Times New Roman" w:hAnsi="Times New Roman"/>
          <w:b/>
          <w:color w:val="000000"/>
          <w:sz w:val="20"/>
        </w:rPr>
      </w:pPr>
      <w:r>
        <w:rPr>
          <w:rFonts w:ascii="Times New Roman" w:hAnsi="Times New Roman"/>
          <w:b/>
          <w:color w:val="000000"/>
          <w:sz w:val="20"/>
        </w:rPr>
        <w:t>June 30, 2026</w:t>
      </w:r>
    </w:p>
    <w:p>
      <w:pPr>
        <w:pStyle w:val="TextBody"/>
        <w:bidi w:val="0"/>
        <w:jc w:val="left"/>
        <w:rPr>
          <w:rFonts w:ascii="Times New Roman" w:hAnsi="Times New Roman"/>
          <w:b/>
          <w:color w:val="000000"/>
          <w:sz w:val="20"/>
        </w:rPr>
      </w:pPr>
      <w:r>
        <w:rPr>
          <w:rFonts w:ascii="Times New Roman" w:hAnsi="Times New Roman"/>
          <w:b/>
          <w:color w:val="000000"/>
          <w:sz w:val="20"/>
        </w:rPr>
        <w:t>(Dollar amounts in thousands)</w:t>
      </w:r>
    </w:p>
    <w:p>
      <w:pPr>
        <w:pStyle w:val="TextBody"/>
        <w:bidi w:val="0"/>
        <w:jc w:val="left"/>
        <w:rPr/>
      </w:pPr>
      <w:r>
        <w:rPr/>
        <w:t> </w:t>
      </w:r>
    </w:p>
    <w:tbl>
      <w:tblPr>
        <w:tblW w:w="11262" w:type="dxa"/>
        <w:jc w:val="left"/>
        <w:tblInd w:w="0" w:type="dxa"/>
        <w:tblLayout w:type="fixed"/>
        <w:tblCellMar>
          <w:top w:w="28" w:type="dxa"/>
          <w:left w:w="28" w:type="dxa"/>
          <w:bottom w:w="28" w:type="dxa"/>
          <w:right w:w="28" w:type="dxa"/>
        </w:tblCellMar>
      </w:tblPr>
      <w:tblGrid>
        <w:gridCol w:w="1201"/>
        <w:gridCol w:w="146"/>
        <w:gridCol w:w="1156"/>
        <w:gridCol w:w="146"/>
        <w:gridCol w:w="691"/>
        <w:gridCol w:w="146"/>
        <w:gridCol w:w="511"/>
        <w:gridCol w:w="601"/>
        <w:gridCol w:w="146"/>
        <w:gridCol w:w="916"/>
        <w:gridCol w:w="146"/>
        <w:gridCol w:w="766"/>
        <w:gridCol w:w="146"/>
        <w:gridCol w:w="196"/>
        <w:gridCol w:w="691"/>
        <w:gridCol w:w="146"/>
        <w:gridCol w:w="146"/>
        <w:gridCol w:w="196"/>
        <w:gridCol w:w="691"/>
        <w:gridCol w:w="146"/>
        <w:gridCol w:w="146"/>
        <w:gridCol w:w="196"/>
        <w:gridCol w:w="691"/>
        <w:gridCol w:w="146"/>
        <w:gridCol w:w="146"/>
        <w:gridCol w:w="146"/>
        <w:gridCol w:w="515"/>
        <w:gridCol w:w="346"/>
      </w:tblGrid>
      <w:tr>
        <w:trPr/>
        <w:tc>
          <w:tcPr>
            <w:tcW w:w="12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5" w:type="dxa"/>
            <w:tcBorders/>
            <w:shd w:fill="FFFFFF" w:val="clear"/>
            <w:vAlign w:val="center"/>
          </w:tcPr>
          <w:p>
            <w:pPr>
              <w:pStyle w:val="TableContents"/>
              <w:bidi w:val="0"/>
              <w:spacing w:before="0" w:after="283"/>
              <w:jc w:val="left"/>
              <w:rPr>
                <w:sz w:val="4"/>
                <w:szCs w:val="4"/>
              </w:rPr>
            </w:pPr>
            <w:r>
              <w:rPr>
                <w:sz w:val="4"/>
                <w:szCs w:val="4"/>
              </w:rPr>
            </w:r>
          </w:p>
        </w:tc>
        <w:tc>
          <w:tcPr>
            <w:tcW w:w="346" w:type="dxa"/>
            <w:tcBorders/>
            <w:shd w:fill="FFFFFF" w:val="clear"/>
            <w:vAlign w:val="center"/>
          </w:tcPr>
          <w:p>
            <w:pPr>
              <w:pStyle w:val="TableContents"/>
              <w:bidi w:val="0"/>
              <w:spacing w:before="0" w:after="283"/>
              <w:jc w:val="left"/>
              <w:rPr>
                <w:sz w:val="4"/>
                <w:szCs w:val="4"/>
              </w:rPr>
            </w:pPr>
            <w:r>
              <w:rPr>
                <w:sz w:val="4"/>
                <w:szCs w:val="4"/>
              </w:rPr>
            </w:r>
          </w:p>
        </w:tc>
      </w:tr>
      <w:tr>
        <w:trPr/>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 (1)</w:t>
              <w:b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Rate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Spread</w:t>
              <w:br/>
              <w:t>Above Index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of Net</w:t>
              <w:br/>
              <w:t>Assets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Brightwood Capital MM CLO 2023-1,</w:t>
              <w:br/>
              <w:t>   Ltd. (7)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Notes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30.82</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9/28/2023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10/15/2035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Canyon CLO 2019-1, Ltd. (7) (9)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13.85</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7/15/2037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ICG US CLO 2021-3, Ltd. (7)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Notes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18.31</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8/8/2024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10/20/2034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5,456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LCM 42 Ltd.(7) (9)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17.17</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1/15/2038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Trinitas CLO VIII, Ltd. (4) (7) (9)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Notes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3/4/2021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7/20/2117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Venture 45 CLO, Limited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Mezzanine Debt - Class 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11.38</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7.70</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4/18/2022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7/20/2035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Structured Finance Securities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96,981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60,291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34,072</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2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Non-control/Non-affiliate</w:t>
              <w:br/>
              <w:t>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279,493</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247,171</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181,930</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161.6</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Contract Datascan Holdings, Inc. (19)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Office Machinery and Equipment Rental and Leasing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Preferred Equity (2750</w:t>
            </w:r>
            <w:r>
              <w:rPr>
                <w:rFonts w:ascii="Times New Roman" w:hAnsi="Times New Roman"/>
                <w:color w:val="000000"/>
                <w:sz w:val="20"/>
              </w:rPr>
              <w:t> </w:t>
            </w:r>
            <w:r>
              <w:rPr>
                <w:rFonts w:ascii="Times New Roman" w:hAnsi="Times New Roman"/>
                <w:color w:val="000000"/>
                <w:sz w:val="16"/>
              </w:rPr>
              <w:t>Series C shares),</w:t>
              <w:br/>
              <w:t>   14%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Preferred Equity (3,061</w:t>
            </w:r>
            <w:r>
              <w:rPr>
                <w:rFonts w:ascii="Times New Roman" w:hAnsi="Times New Roman"/>
                <w:color w:val="000000"/>
                <w:sz w:val="20"/>
              </w:rPr>
              <w:t> </w:t>
            </w:r>
            <w:r>
              <w:rPr>
                <w:rFonts w:ascii="Times New Roman" w:hAnsi="Times New Roman"/>
                <w:color w:val="000000"/>
                <w:sz w:val="16"/>
              </w:rPr>
              <w:t>Series A shares),</w:t>
              <w:br/>
              <w:t>   10% PIK</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8/5/2015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9,127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Equity (11,273</w:t>
            </w:r>
            <w:r>
              <w:rPr>
                <w:rFonts w:ascii="Times New Roman" w:hAnsi="Times New Roman"/>
                <w:color w:val="000000"/>
                <w:sz w:val="20"/>
              </w:rPr>
              <w:t> </w:t>
            </w:r>
            <w:r>
              <w:rPr>
                <w:rFonts w:ascii="Times New Roman" w:hAnsi="Times New Roman"/>
                <w:color w:val="000000"/>
                <w:sz w:val="16"/>
              </w:rPr>
              <w:t>shares)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6/28/2016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Warrants (warrants to purchase 224</w:t>
            </w:r>
            <w:r>
              <w:rPr>
                <w:rFonts w:ascii="Times New Roman" w:hAnsi="Times New Roman"/>
                <w:color w:val="000000"/>
                <w:sz w:val="20"/>
              </w:rPr>
              <w:t> </w:t>
            </w:r>
            <w:r>
              <w:rPr>
                <w:rFonts w:ascii="Times New Roman" w:hAnsi="Times New Roman"/>
                <w:color w:val="000000"/>
                <w:sz w:val="16"/>
              </w:rPr>
              <w:t>Series</w:t>
              <w:br/>
              <w:t>   A preferred equity shares) (10)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8/21/2025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8/20/2035</w:t>
            </w:r>
            <w:r>
              <w:rPr>
                <w:rFonts w:ascii="Times New Roman" w:hAnsi="Times New Roman"/>
                <w:color w:val="000000"/>
                <w:sz w:val="20"/>
              </w:rPr>
              <w:t> </w:t>
            </w:r>
            <w:r>
              <w:rPr>
                <w:rFonts w:ascii="Times New Roman" w:hAnsi="Times New Roman"/>
                <w:color w:val="000000"/>
                <w:sz w:val="16"/>
              </w:rPr>
              <w:t>(12)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Warrants (warrants to purchase 1,946</w:t>
              <w:br/>
              <w:t>   shares of common equity)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8/20/2035</w:t>
            </w:r>
            <w:r>
              <w:rPr>
                <w:rFonts w:ascii="Times New Roman" w:hAnsi="Times New Roman"/>
                <w:color w:val="000000"/>
                <w:sz w:val="20"/>
              </w:rPr>
              <w:t> </w:t>
            </w:r>
            <w:r>
              <w:rPr>
                <w:rFonts w:ascii="Times New Roman" w:hAnsi="Times New Roman"/>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13,443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12,205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DRS Imaging Services, LLC (10)</w:t>
              <w:br/>
              <w:t>   (13) (20)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Data Processing, Hosting, and Related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Equity (1,135</w:t>
            </w:r>
            <w:r>
              <w:rPr>
                <w:rFonts w:ascii="Times New Roman" w:hAnsi="Times New Roman"/>
                <w:color w:val="000000"/>
                <w:sz w:val="20"/>
              </w:rPr>
              <w:t> </w:t>
            </w:r>
            <w:r>
              <w:rPr>
                <w:rFonts w:ascii="Times New Roman" w:hAnsi="Times New Roman"/>
                <w:color w:val="000000"/>
                <w:sz w:val="16"/>
              </w:rPr>
              <w:t>units)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3/8/2018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Pfanstiehl Holdings, Inc. (8) (20)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Pharmaceutical Preparation Manufacturing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Equity (400</w:t>
            </w:r>
            <w:r>
              <w:rPr>
                <w:rFonts w:ascii="Times New Roman" w:hAnsi="Times New Roman"/>
                <w:color w:val="000000"/>
                <w:sz w:val="20"/>
              </w:rPr>
              <w:t> </w:t>
            </w:r>
            <w:r>
              <w:rPr>
                <w:rFonts w:ascii="Times New Roman" w:hAnsi="Times New Roman"/>
                <w:color w:val="000000"/>
                <w:sz w:val="16"/>
              </w:rPr>
              <w:t>Class A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b/>
          <w:color w:val="000000"/>
          <w:sz w:val="20"/>
        </w:rPr>
      </w:pPr>
      <w:r>
        <w:rPr>
          <w:rFonts w:ascii="Times New Roman" w:hAnsi="Times New Roman"/>
          <w:b/>
          <w:color w:val="000000"/>
          <w:sz w:val="20"/>
        </w:rPr>
        <w:t>Consolidated Schedule of Investments - Continued (unaudited)</w:t>
      </w:r>
    </w:p>
    <w:p>
      <w:pPr>
        <w:pStyle w:val="TextBody"/>
        <w:bidi w:val="0"/>
        <w:jc w:val="left"/>
        <w:rPr>
          <w:rFonts w:ascii="Times New Roman" w:hAnsi="Times New Roman"/>
          <w:b/>
          <w:color w:val="000000"/>
          <w:sz w:val="20"/>
        </w:rPr>
      </w:pPr>
      <w:r>
        <w:rPr>
          <w:rFonts w:ascii="Times New Roman" w:hAnsi="Times New Roman"/>
          <w:b/>
          <w:color w:val="000000"/>
          <w:sz w:val="20"/>
        </w:rPr>
        <w:t>June 30, 2026</w:t>
      </w:r>
    </w:p>
    <w:p>
      <w:pPr>
        <w:pStyle w:val="TextBody"/>
        <w:bidi w:val="0"/>
        <w:jc w:val="left"/>
        <w:rPr>
          <w:rFonts w:ascii="Times New Roman" w:hAnsi="Times New Roman"/>
          <w:b/>
          <w:color w:val="000000"/>
          <w:sz w:val="20"/>
        </w:rPr>
      </w:pPr>
      <w:r>
        <w:rPr>
          <w:rFonts w:ascii="Times New Roman" w:hAnsi="Times New Roman"/>
          <w:b/>
          <w:color w:val="000000"/>
          <w:sz w:val="20"/>
        </w:rPr>
        <w:t>(Dollar amounts in thousands)</w:t>
      </w:r>
    </w:p>
    <w:p>
      <w:pPr>
        <w:pStyle w:val="TextBody"/>
        <w:bidi w:val="0"/>
        <w:jc w:val="left"/>
        <w:rPr/>
      </w:pPr>
      <w:r>
        <w:rPr/>
        <w:t> </w:t>
      </w:r>
    </w:p>
    <w:tbl>
      <w:tblPr>
        <w:tblW w:w="10767" w:type="dxa"/>
        <w:jc w:val="left"/>
        <w:tblInd w:w="0" w:type="dxa"/>
        <w:tblLayout w:type="fixed"/>
        <w:tblCellMar>
          <w:top w:w="28" w:type="dxa"/>
          <w:left w:w="28" w:type="dxa"/>
          <w:bottom w:w="28" w:type="dxa"/>
          <w:right w:w="28" w:type="dxa"/>
        </w:tblCellMar>
      </w:tblPr>
      <w:tblGrid>
        <w:gridCol w:w="1066"/>
        <w:gridCol w:w="146"/>
        <w:gridCol w:w="826"/>
        <w:gridCol w:w="146"/>
        <w:gridCol w:w="661"/>
        <w:gridCol w:w="146"/>
        <w:gridCol w:w="511"/>
        <w:gridCol w:w="601"/>
        <w:gridCol w:w="146"/>
        <w:gridCol w:w="916"/>
        <w:gridCol w:w="146"/>
        <w:gridCol w:w="766"/>
        <w:gridCol w:w="146"/>
        <w:gridCol w:w="196"/>
        <w:gridCol w:w="691"/>
        <w:gridCol w:w="146"/>
        <w:gridCol w:w="146"/>
        <w:gridCol w:w="196"/>
        <w:gridCol w:w="691"/>
        <w:gridCol w:w="146"/>
        <w:gridCol w:w="146"/>
        <w:gridCol w:w="196"/>
        <w:gridCol w:w="691"/>
        <w:gridCol w:w="146"/>
        <w:gridCol w:w="146"/>
        <w:gridCol w:w="146"/>
        <w:gridCol w:w="515"/>
        <w:gridCol w:w="346"/>
      </w:tblGrid>
      <w:tr>
        <w:trPr/>
        <w:tc>
          <w:tcPr>
            <w:tcW w:w="10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5" w:type="dxa"/>
            <w:tcBorders/>
            <w:shd w:fill="FFFFFF" w:val="clear"/>
            <w:vAlign w:val="center"/>
          </w:tcPr>
          <w:p>
            <w:pPr>
              <w:pStyle w:val="TableContents"/>
              <w:bidi w:val="0"/>
              <w:spacing w:before="0" w:after="283"/>
              <w:jc w:val="left"/>
              <w:rPr>
                <w:sz w:val="4"/>
                <w:szCs w:val="4"/>
              </w:rPr>
            </w:pPr>
            <w:r>
              <w:rPr>
                <w:sz w:val="4"/>
                <w:szCs w:val="4"/>
              </w:rPr>
            </w:r>
          </w:p>
        </w:tc>
        <w:tc>
          <w:tcPr>
            <w:tcW w:w="346" w:type="dxa"/>
            <w:tcBorders/>
            <w:shd w:fill="FFFFFF" w:val="clear"/>
            <w:vAlign w:val="center"/>
          </w:tcPr>
          <w:p>
            <w:pPr>
              <w:pStyle w:val="TableContents"/>
              <w:bidi w:val="0"/>
              <w:spacing w:before="0" w:after="283"/>
              <w:jc w:val="left"/>
              <w:rPr>
                <w:sz w:val="4"/>
                <w:szCs w:val="4"/>
              </w:rPr>
            </w:pPr>
            <w:r>
              <w:rPr>
                <w:sz w:val="4"/>
                <w:szCs w:val="4"/>
              </w:rPr>
            </w:r>
          </w:p>
        </w:tc>
      </w:tr>
      <w:tr>
        <w:trPr/>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 (1)</w:t>
              <w:b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Rate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Spread</w:t>
              <w:br/>
              <w:t>Above Index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w:t>
              <w:br/>
              <w:t>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of Net</w:t>
              <w:br/>
              <w:t>Assets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SSJA Bariatric Management LLC (20)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Offices of Physicians and Mental Health Specialists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9.06</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5.25</w:t>
            </w:r>
            <w:r>
              <w:rPr>
                <w:rFonts w:ascii="Times New Roman" w:hAnsi="Times New Roman"/>
                <w:color w:val="000000"/>
                <w:sz w:val="20"/>
              </w:rPr>
              <w:t> </w:t>
            </w:r>
            <w:r>
              <w:rPr>
                <w:rFonts w:ascii="Times New Roman" w:hAnsi="Times New Roman"/>
                <w:color w:val="000000"/>
                <w:sz w:val="16"/>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10/31/2025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10/31/2028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9.07%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5.25</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0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Equity (52,763</w:t>
            </w:r>
            <w:r>
              <w:rPr>
                <w:rFonts w:ascii="Times New Roman" w:hAnsi="Times New Roman"/>
                <w:color w:val="000000"/>
                <w:sz w:val="20"/>
              </w:rPr>
              <w:t> </w:t>
            </w:r>
            <w:r>
              <w:rPr>
                <w:rFonts w:ascii="Times New Roman" w:hAnsi="Times New Roman"/>
                <w:color w:val="000000"/>
                <w:sz w:val="16"/>
              </w:rPr>
              <w:t xml:space="preserve">Class A units) (10) </w:t>
              <w:br/>
              <w:t>(13) (15)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10/31/2025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9,657</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1,274</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0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115,826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0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283,707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275,837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297,756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264.4</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0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Equivalents (17)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First American Treasury Obligations Fund Class 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3.55</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0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Morgan Stanley Institutional Liquidity Funds - Government Portfolio Advisory Class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3.30</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0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0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Investments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285,074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277,204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299,123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265.6</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Equity ownership may be held in shares or units of companies affiliated with the portfolio company. The Company’s investments are generally classified as “restricted securities” as such term is defined under Regulation S-X Rule 6-03(f) or Securities Act Rule 144.</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pPr>
      <w:r>
        <w:rPr>
          <w:rFonts w:ascii="Times New Roman" w:hAnsi="Times New Roman"/>
          <w:color w:val="000000"/>
          <w:sz w:val="16"/>
        </w:rPr>
        <w:t>As of June 30, 2026, the Company held loans and mezzanine debt investments with an aggregate fair value of $139,404</w:t>
      </w:r>
      <w:r>
        <w:rPr>
          <w:color w:val="000000"/>
        </w:rPr>
        <w:t xml:space="preserve"> </w:t>
      </w:r>
      <w:r>
        <w:rPr>
          <w:rFonts w:ascii="Times New Roman" w:hAnsi="Times New Roman"/>
          <w:color w:val="000000"/>
          <w:sz w:val="16"/>
        </w:rPr>
        <w:t>of the total loan portfolio, that bore interest at a variable rate indexed to SOFR or Prime, and reset monthly, quarterly, or semi-annually. For each variable-rate investment, the Company has provided the spread over the reference rate and current interest rate in effect as of June 30, 2026. Unless otherwise noted, all investments with a stated PIK rate require interest payments with the issuance of additional securities as payment of the entire PIK provision.</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pPr>
      <w:r>
        <w:rPr>
          <w:rFonts w:ascii="Times New Roman" w:hAnsi="Times New Roman"/>
          <w:color w:val="000000"/>
          <w:sz w:val="16"/>
        </w:rPr>
        <w:t xml:space="preserve">Unless otherwise noted in footnote 14, fair value was determined using significant unobservable inputs for all of the Company’s investments and are considered Level 3 under GAAP. See </w:t>
      </w:r>
      <w:r>
        <w:rPr>
          <w:rFonts w:ascii="Times New Roman" w:hAnsi="Times New Roman"/>
          <w:b/>
          <w:color w:val="000000"/>
          <w:sz w:val="16"/>
        </w:rPr>
        <w:t>Note 5</w:t>
      </w:r>
      <w:r>
        <w:rPr>
          <w:color w:val="000000"/>
        </w:rPr>
        <w:t xml:space="preserve"> </w:t>
      </w:r>
      <w:r>
        <w:rPr>
          <w:rFonts w:ascii="Times New Roman" w:hAnsi="Times New Roman"/>
          <w:color w:val="000000"/>
          <w:sz w:val="16"/>
        </w:rPr>
        <w:t>for further details.</w:t>
      </w:r>
      <w:r>
        <w:rPr>
          <w:color w:val="000000"/>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As of June 30, 2026, the effective accretable yield was estimated to be 0%, as the aggregate amount of projected distributions, including projected distributions related to liquidation of the underlying portfolio upon the security’s anticipated optional redemption, was less than current amortized cost. Projected distributions are periodically monitored and re-evaluated. All actual distributions were recognized as reductions to amortized cost until such time, if and when occurring, a future aggregate amount of then-projected distributions exceeds the security’s then-current amortized cost.</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(5)</w:t>
      </w:r>
    </w:p>
    <w:p>
      <w:pPr>
        <w:pStyle w:val="TextBody"/>
        <w:bidi w:val="0"/>
        <w:spacing w:before="0" w:after="0"/>
        <w:jc w:val="left"/>
        <w:rPr/>
      </w:pPr>
      <w:r>
        <w:rPr>
          <w:rFonts w:ascii="Times New Roman" w:hAnsi="Times New Roman"/>
          <w:color w:val="000000"/>
          <w:sz w:val="16"/>
        </w:rPr>
        <w:t xml:space="preserve">Subject to unfunded commitments. The Company considers undrawn amounts in the determination of fair value on revolving lines of credit and delayed draw term loans. See </w:t>
      </w:r>
      <w:r>
        <w:rPr>
          <w:rFonts w:ascii="Times New Roman" w:hAnsi="Times New Roman"/>
          <w:b/>
          <w:color w:val="000000"/>
          <w:sz w:val="16"/>
        </w:rPr>
        <w:t>Note 6</w:t>
      </w:r>
      <w:r>
        <w:rPr>
          <w:rFonts w:ascii="Times New Roman" w:hAnsi="Times New Roman"/>
          <w:color w:val="000000"/>
          <w:sz w:val="16"/>
        </w:rPr>
        <w:t>.</w:t>
      </w:r>
      <w:r>
        <w:rPr>
          <w:color w:val="000000"/>
        </w:rPr>
        <w:t xml:space="preser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(6)</w:t>
      </w:r>
    </w:p>
    <w:p>
      <w:pPr>
        <w:pStyle w:val="TextBody"/>
        <w:bidi w:val="0"/>
        <w:spacing w:before="0" w:after="0"/>
        <w:jc w:val="left"/>
        <w:rPr/>
      </w:pPr>
      <w:r>
        <w:rPr>
          <w:rFonts w:ascii="Times New Roman" w:hAnsi="Times New Roman"/>
          <w:color w:val="000000"/>
          <w:sz w:val="16"/>
        </w:rPr>
        <w:t xml:space="preserve">Investment was on non-accrual status as of June 30, 2026. See </w:t>
      </w:r>
      <w:r>
        <w:rPr>
          <w:rFonts w:ascii="Times New Roman" w:hAnsi="Times New Roman"/>
          <w:b/>
          <w:color w:val="000000"/>
          <w:sz w:val="16"/>
        </w:rPr>
        <w:t>Note 4</w:t>
      </w:r>
      <w:r>
        <w:rPr>
          <w:color w:val="000000"/>
        </w:rPr>
        <w:t xml:space="preserve"> </w:t>
      </w:r>
      <w:r>
        <w:rPr>
          <w:rFonts w:ascii="Times New Roman" w:hAnsi="Times New Roman"/>
          <w:color w:val="000000"/>
          <w:sz w:val="16"/>
        </w:rPr>
        <w:t>for further details.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(7)</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Amortized cost reflects accretion of effective yield less any cash distributions received or entitled to be received from CLO subordinated note investments. CLO subordinated note positions are entitled to recurring distributions, which are generally equal to the residual cash flow of payments received on underlying securities less contractual payments to debt holders and fund expenses.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(8)</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Portfolio company represents greater than 5% of total assets as of June 30, 2026.</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(9)</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The rate disclosed on subordinated note investments is the estimated effective yield, generally established at purchase, and reevaluated upon the receipt of the initial distribution and each subsequent quarter thereafter. The estimated effective yield is based upon projected amounts and timing of future distributions and the projected amounts and timing of terminal principal payments at the time of estimation. The estimated effective yield and investment cost may ultimately not be realized. Projected cash flows, including the amounts and timing of terminal principal payments, which generally are projected to occur prior to the contractual maturity date, were utilized in deriving the effective yield of the investments.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(10)</w:t>
      </w:r>
    </w:p>
    <w:p>
      <w:pPr>
        <w:pStyle w:val="TextBody"/>
        <w:bidi w:val="0"/>
        <w:jc w:val="left"/>
        <w:rPr>
          <w:rFonts w:ascii="Times New Roman" w:hAnsi="Times New Roman"/>
          <w:color w:val="000000"/>
          <w:sz w:val="16"/>
        </w:rPr>
      </w:pPr>
      <w:r>
        <w:rPr>
          <w:rFonts w:ascii="Times New Roman" w:hAnsi="Times New Roman"/>
          <w:color w:val="000000"/>
          <w:sz w:val="16"/>
        </w:rPr>
        <w:t>Non-income producing. The Company has not recognized income on the security during the prior twelve-month period preceding the period-end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b/>
          <w:color w:val="000000"/>
          <w:sz w:val="20"/>
        </w:rPr>
      </w:pPr>
      <w:r>
        <w:rPr>
          <w:rFonts w:ascii="Times New Roman" w:hAnsi="Times New Roman"/>
          <w:b/>
          <w:color w:val="000000"/>
          <w:sz w:val="20"/>
        </w:rPr>
        <w:t>Consolidated Schedule of Investments - Continued (unaudited)</w:t>
      </w:r>
    </w:p>
    <w:p>
      <w:pPr>
        <w:pStyle w:val="TextBody"/>
        <w:bidi w:val="0"/>
        <w:jc w:val="left"/>
        <w:rPr>
          <w:rFonts w:ascii="Times New Roman" w:hAnsi="Times New Roman"/>
          <w:b/>
          <w:color w:val="000000"/>
          <w:sz w:val="20"/>
        </w:rPr>
      </w:pPr>
      <w:r>
        <w:rPr>
          <w:rFonts w:ascii="Times New Roman" w:hAnsi="Times New Roman"/>
          <w:b/>
          <w:color w:val="000000"/>
          <w:sz w:val="20"/>
        </w:rPr>
        <w:t>June 30, 2026</w:t>
      </w:r>
    </w:p>
    <w:p>
      <w:pPr>
        <w:pStyle w:val="TextBody"/>
        <w:bidi w:val="0"/>
        <w:jc w:val="left"/>
        <w:rPr>
          <w:rFonts w:ascii="Times New Roman" w:hAnsi="Times New Roman"/>
          <w:b/>
          <w:color w:val="000000"/>
          <w:sz w:val="20"/>
        </w:rPr>
      </w:pPr>
      <w:r>
        <w:rPr>
          <w:rFonts w:ascii="Times New Roman" w:hAnsi="Times New Roman"/>
          <w:b/>
          <w:color w:val="000000"/>
          <w:sz w:val="20"/>
        </w:rPr>
        <w:t>(Dollar amounts in thousands)</w:t>
      </w:r>
    </w:p>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(11)</w:t>
      </w:r>
    </w:p>
    <w:p>
      <w:pPr>
        <w:pStyle w:val="TextBody"/>
        <w:bidi w:val="0"/>
        <w:jc w:val="left"/>
        <w:rPr>
          <w:rFonts w:ascii="Times New Roman" w:hAnsi="Times New Roman"/>
          <w:color w:val="000000"/>
          <w:sz w:val="16"/>
        </w:rPr>
      </w:pPr>
      <w:r>
        <w:rPr>
          <w:rFonts w:ascii="Times New Roman" w:hAnsi="Times New Roman"/>
          <w:color w:val="000000"/>
          <w:sz w:val="16"/>
        </w:rPr>
        <w:t>The interest rate on these investments contains a PIK provision, whereby the issuer has the option to make interest payments in cash or with the issuance of additional securities as payment of the entire PIK provision. The interest rate in the schedule represents the current interest rate in effect for these investments. The following table provides additional details on these PIK investments, including the maximum annual PIK interest rate allowed as of June 30, 2026:</w:t>
      </w:r>
    </w:p>
    <w:p>
      <w:pPr>
        <w:pStyle w:val="TextBody"/>
        <w:bidi w:val="0"/>
        <w:jc w:val="left"/>
        <w:rPr/>
      </w:pPr>
      <w:r>
        <w:rPr/>
        <w:t> </w:t>
      </w:r>
    </w:p>
    <w:tbl>
      <w:tblPr>
        <w:tblW w:w="9634" w:type="dxa"/>
        <w:jc w:val="left"/>
        <w:tblInd w:w="0" w:type="dxa"/>
        <w:tblLayout w:type="fixed"/>
        <w:tblCellMar>
          <w:top w:w="28" w:type="dxa"/>
          <w:left w:w="28" w:type="dxa"/>
          <w:bottom w:w="28" w:type="dxa"/>
          <w:right w:w="28" w:type="dxa"/>
        </w:tblCellMar>
      </w:tblPr>
      <w:tblGrid>
        <w:gridCol w:w="3361"/>
        <w:gridCol w:w="146"/>
        <w:gridCol w:w="1936"/>
        <w:gridCol w:w="146"/>
        <w:gridCol w:w="1186"/>
        <w:gridCol w:w="146"/>
        <w:gridCol w:w="1111"/>
        <w:gridCol w:w="146"/>
        <w:gridCol w:w="145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PIK</w:t>
              <w:br/>
              <w:t>Rate Allowed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of PIK</w:t>
              <w:br/>
              <w:t>Option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of Cash</w:t>
              <w:br/>
              <w:t>Option</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Avison Young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12.26</w:t>
            </w:r>
            <w:r>
              <w:rPr>
                <w:rFonts w:ascii="Times New Roman" w:hAnsi="Times New Roman"/>
                <w:color w:val="000000"/>
                <w:sz w:val="2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 to 12.26%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 to 12.26%</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Avison Young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5.96</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 to 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5.15% to 11.11%</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Avison Young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11.43</w:t>
            </w:r>
            <w:r>
              <w:rPr>
                <w:rFonts w:ascii="Times New Roman" w:hAnsi="Times New Roman"/>
                <w:color w:val="000000"/>
                <w:sz w:val="2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 to 11.43%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 to 11.43%</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Avison Young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11.41</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 to 11.41%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 to 11.41%</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Avison Young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12.26</w:t>
            </w:r>
            <w:r>
              <w:rPr>
                <w:rFonts w:ascii="Times New Roman" w:hAnsi="Times New Roman"/>
                <w:color w:val="000000"/>
                <w:sz w:val="2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 to 12.26%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 to 12.26%</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Inergex Holdings,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2.00</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 to 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10.88% to 12.88%</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Inergex Holdings,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2.00</w:t>
            </w:r>
            <w:r>
              <w:rPr>
                <w:rFonts w:ascii="Times New Roman" w:hAnsi="Times New Roman"/>
                <w:color w:val="000000"/>
                <w:sz w:val="2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 to 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10.88% to 12.88%</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JP Intermediate B,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4.00</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 to 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5.23% to 9.23%</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Kreg,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0.50</w:t>
            </w:r>
            <w:r>
              <w:rPr>
                <w:rFonts w:ascii="Times New Roman" w:hAnsi="Times New Roman"/>
                <w:color w:val="000000"/>
                <w:sz w:val="2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 to 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10.13% to 10.63%</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One GI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10.48</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 to 10.48%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 to 10.48%</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One GI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10.48</w:t>
            </w:r>
            <w:r>
              <w:rPr>
                <w:rFonts w:ascii="Times New Roman" w:hAnsi="Times New Roman"/>
                <w:color w:val="000000"/>
                <w:sz w:val="2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 to 10.48%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 to 10.48%</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One GI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10.48</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 to 10.48%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 to 10.48%</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RideNow Group, Inc. (F/K/A RumbleOn,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1.00</w:t>
            </w:r>
            <w:r>
              <w:rPr>
                <w:rFonts w:ascii="Times New Roman" w:hAnsi="Times New Roman"/>
                <w:color w:val="000000"/>
                <w:sz w:val="2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 to 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10.68% to 11.68%</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RideNow Group, Inc. (F/K/A RumbleOn,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1.00</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 to 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10.68% to 11.68%</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Represents expiration date of the warrants.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All or a portion of investment held by a wholly owned subsidiary subject to income tax.</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(14)</w:t>
      </w:r>
    </w:p>
    <w:p>
      <w:pPr>
        <w:pStyle w:val="TextBody"/>
        <w:bidi w:val="0"/>
        <w:spacing w:before="0" w:after="0"/>
        <w:jc w:val="left"/>
        <w:rPr/>
      </w:pPr>
      <w:r>
        <w:rPr>
          <w:rFonts w:ascii="Times New Roman" w:hAnsi="Times New Roman"/>
          <w:color w:val="000000"/>
          <w:sz w:val="16"/>
        </w:rPr>
        <w:t xml:space="preserve">Fair value was determined by reference to observable inputs other than quoted prices in active markets and are considered Level 2 under GAAP. See </w:t>
      </w:r>
      <w:r>
        <w:rPr>
          <w:rFonts w:ascii="Times New Roman" w:hAnsi="Times New Roman"/>
          <w:b/>
          <w:color w:val="000000"/>
          <w:sz w:val="16"/>
        </w:rPr>
        <w:t>Note 5</w:t>
      </w:r>
      <w:r>
        <w:rPr>
          <w:color w:val="000000"/>
        </w:rPr>
        <w:t xml:space="preserve"> </w:t>
      </w:r>
      <w:r>
        <w:rPr>
          <w:rFonts w:ascii="Times New Roman" w:hAnsi="Times New Roman"/>
          <w:color w:val="000000"/>
          <w:sz w:val="16"/>
        </w:rPr>
        <w:t>for further details.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(15)</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Investments (or a portion thereof) held by OFSCC-FS. These assets are pledged as collateral of the Natixis Facility and cannot be pledged under any debt obligation of the Parent.</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(16)</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Non-qualifying assets under Section 55(a) of the 1940 Act. Qualifying assets as defined in Section 55 of the 1940 Act must represent at least 70% of the Company’s assets immediately following the acquisition of any additional non-qualifying assets. As of June 30, 2026, approximately 87% of the Company's assets were qualifying assets.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(17)</w:t>
      </w:r>
    </w:p>
    <w:p>
      <w:pPr>
        <w:pStyle w:val="TextBody"/>
        <w:bidi w:val="0"/>
        <w:spacing w:before="0" w:after="0"/>
        <w:jc w:val="left"/>
        <w:rPr/>
      </w:pPr>
      <w:r>
        <w:rPr>
          <w:rFonts w:ascii="Times New Roman" w:hAnsi="Times New Roman"/>
          <w:color w:val="000000"/>
          <w:sz w:val="16"/>
        </w:rPr>
        <w:t>Represents cash equivalents held in a money market fund as of June 30, 2026. The Company also had cash deposits of $2,615</w:t>
      </w:r>
      <w:r>
        <w:rPr>
          <w:color w:val="000000"/>
        </w:rPr>
        <w:t xml:space="preserve"> </w:t>
      </w:r>
      <w:r>
        <w:rPr>
          <w:rFonts w:ascii="Times New Roman" w:hAnsi="Times New Roman"/>
          <w:color w:val="000000"/>
          <w:sz w:val="16"/>
        </w:rPr>
        <w:t>as of June 30, 2026.</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(18)</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Not meaningful as there is no outstanding balance on the revolver or delayed draw facility. The Company generally earns unfunded commitment fees on undrawn revolving lines of credit balances, which are reported in fee income.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(19)</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The Company holds at least one seat on the portfolio company’s board of directors.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(20)</w:t>
      </w:r>
    </w:p>
    <w:p>
      <w:pPr>
        <w:pStyle w:val="TextBody"/>
        <w:bidi w:val="0"/>
        <w:jc w:val="left"/>
        <w:rPr>
          <w:rFonts w:ascii="Times New Roman" w:hAnsi="Times New Roman"/>
          <w:color w:val="000000"/>
          <w:sz w:val="16"/>
        </w:rPr>
      </w:pPr>
      <w:r>
        <w:rPr>
          <w:rFonts w:ascii="Times New Roman" w:hAnsi="Times New Roman"/>
          <w:color w:val="000000"/>
          <w:sz w:val="16"/>
        </w:rPr>
        <w:t>The Company has an observer seat on the portfolio company’s board of directors.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See Notes to Consolidated Financial Statements (unaudited).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b/>
          <w:color w:val="000000"/>
          <w:sz w:val="20"/>
        </w:rPr>
      </w:pPr>
      <w:r>
        <w:rPr>
          <w:rFonts w:ascii="Times New Roman" w:hAnsi="Times New Roman"/>
          <w:b/>
          <w:color w:val="000000"/>
          <w:sz w:val="20"/>
        </w:rPr>
        <w:t>Consolidated Schedule of Investments</w:t>
      </w:r>
    </w:p>
    <w:p>
      <w:pPr>
        <w:pStyle w:val="TextBody"/>
        <w:bidi w:val="0"/>
        <w:jc w:val="left"/>
        <w:rPr>
          <w:rFonts w:ascii="Times New Roman" w:hAnsi="Times New Roman"/>
          <w:b/>
          <w:color w:val="000000"/>
          <w:sz w:val="20"/>
        </w:rPr>
      </w:pPr>
      <w:r>
        <w:rPr>
          <w:rFonts w:ascii="Times New Roman" w:hAnsi="Times New Roman"/>
          <w:b/>
          <w:color w:val="000000"/>
          <w:sz w:val="20"/>
        </w:rPr>
        <w:t>December 31, 2025</w:t>
      </w:r>
    </w:p>
    <w:p>
      <w:pPr>
        <w:pStyle w:val="TextBody"/>
        <w:bidi w:val="0"/>
        <w:jc w:val="left"/>
        <w:rPr>
          <w:rFonts w:ascii="Times New Roman" w:hAnsi="Times New Roman"/>
          <w:b/>
          <w:color w:val="000000"/>
          <w:sz w:val="20"/>
        </w:rPr>
      </w:pPr>
      <w:r>
        <w:rPr>
          <w:rFonts w:ascii="Times New Roman" w:hAnsi="Times New Roman"/>
          <w:b/>
          <w:color w:val="000000"/>
          <w:sz w:val="20"/>
        </w:rPr>
        <w:t>(Dollar amounts in thousands)</w:t>
      </w:r>
    </w:p>
    <w:p>
      <w:pPr>
        <w:pStyle w:val="TextBody"/>
        <w:bidi w:val="0"/>
        <w:jc w:val="left"/>
        <w:rPr/>
      </w:pPr>
      <w:r>
        <w:rPr/>
        <w:t> </w:t>
      </w:r>
    </w:p>
    <w:p>
      <w:pPr>
        <w:pStyle w:val="TextBody"/>
        <w:bidi w:val="0"/>
        <w:jc w:val="left"/>
        <w:rPr/>
      </w:pPr>
      <w:r>
        <w:rPr/>
        <w:t> </w:t>
      </w:r>
    </w:p>
    <w:tbl>
      <w:tblPr>
        <w:tblW w:w="10820" w:type="dxa"/>
        <w:jc w:val="left"/>
        <w:tblInd w:w="0" w:type="dxa"/>
        <w:tblLayout w:type="fixed"/>
        <w:tblCellMar>
          <w:top w:w="28" w:type="dxa"/>
          <w:left w:w="28" w:type="dxa"/>
          <w:bottom w:w="28" w:type="dxa"/>
          <w:right w:w="28" w:type="dxa"/>
        </w:tblCellMar>
      </w:tblPr>
      <w:tblGrid>
        <w:gridCol w:w="1186"/>
        <w:gridCol w:w="146"/>
        <w:gridCol w:w="1216"/>
        <w:gridCol w:w="146"/>
        <w:gridCol w:w="661"/>
        <w:gridCol w:w="146"/>
        <w:gridCol w:w="511"/>
        <w:gridCol w:w="421"/>
        <w:gridCol w:w="146"/>
        <w:gridCol w:w="916"/>
        <w:gridCol w:w="146"/>
        <w:gridCol w:w="766"/>
        <w:gridCol w:w="146"/>
        <w:gridCol w:w="212"/>
        <w:gridCol w:w="554"/>
        <w:gridCol w:w="146"/>
        <w:gridCol w:w="146"/>
        <w:gridCol w:w="241"/>
        <w:gridCol w:w="630"/>
        <w:gridCol w:w="166"/>
        <w:gridCol w:w="146"/>
        <w:gridCol w:w="196"/>
        <w:gridCol w:w="511"/>
        <w:gridCol w:w="166"/>
        <w:gridCol w:w="146"/>
        <w:gridCol w:w="196"/>
        <w:gridCol w:w="465"/>
        <w:gridCol w:w="346"/>
      </w:tblGrid>
      <w:tr>
        <w:trPr/>
        <w:tc>
          <w:tcPr>
            <w:tcW w:w="11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2" w:type="dxa"/>
            <w:tcBorders/>
            <w:shd w:fill="FFFFFF" w:val="clear"/>
            <w:vAlign w:val="center"/>
          </w:tcPr>
          <w:p>
            <w:pPr>
              <w:pStyle w:val="TableContents"/>
              <w:bidi w:val="0"/>
              <w:spacing w:before="0" w:after="283"/>
              <w:jc w:val="left"/>
              <w:rPr>
                <w:sz w:val="4"/>
                <w:szCs w:val="4"/>
              </w:rPr>
            </w:pPr>
            <w:r>
              <w:rPr>
                <w:sz w:val="4"/>
                <w:szCs w:val="4"/>
              </w:rPr>
            </w:r>
          </w:p>
        </w:tc>
        <w:tc>
          <w:tcPr>
            <w:tcW w:w="55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41" w:type="dxa"/>
            <w:tcBorders/>
            <w:shd w:fill="FFFFFF" w:val="clear"/>
            <w:vAlign w:val="center"/>
          </w:tcPr>
          <w:p>
            <w:pPr>
              <w:pStyle w:val="TableContents"/>
              <w:bidi w:val="0"/>
              <w:spacing w:before="0" w:after="283"/>
              <w:jc w:val="left"/>
              <w:rPr>
                <w:sz w:val="4"/>
                <w:szCs w:val="4"/>
              </w:rPr>
            </w:pPr>
            <w:r>
              <w:rPr>
                <w:sz w:val="4"/>
                <w:szCs w:val="4"/>
              </w:rPr>
            </w:r>
          </w:p>
        </w:tc>
        <w:tc>
          <w:tcPr>
            <w:tcW w:w="630"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465" w:type="dxa"/>
            <w:tcBorders/>
            <w:shd w:fill="FFFFFF" w:val="clear"/>
            <w:vAlign w:val="center"/>
          </w:tcPr>
          <w:p>
            <w:pPr>
              <w:pStyle w:val="TableContents"/>
              <w:bidi w:val="0"/>
              <w:spacing w:before="0" w:after="283"/>
              <w:jc w:val="left"/>
              <w:rPr>
                <w:sz w:val="4"/>
                <w:szCs w:val="4"/>
              </w:rPr>
            </w:pPr>
            <w:r>
              <w:rPr>
                <w:sz w:val="4"/>
                <w:szCs w:val="4"/>
              </w:rPr>
            </w:r>
          </w:p>
        </w:tc>
        <w:tc>
          <w:tcPr>
            <w:tcW w:w="346" w:type="dxa"/>
            <w:tcBorders/>
            <w:shd w:fill="FFFFFF" w:val="clear"/>
            <w:vAlign w:val="center"/>
          </w:tcPr>
          <w:p>
            <w:pPr>
              <w:pStyle w:val="TableContents"/>
              <w:bidi w:val="0"/>
              <w:spacing w:before="0" w:after="283"/>
              <w:jc w:val="left"/>
              <w:rPr>
                <w:sz w:val="4"/>
                <w:szCs w:val="4"/>
              </w:rPr>
            </w:pPr>
            <w:r>
              <w:rPr>
                <w:sz w:val="4"/>
                <w:szCs w:val="4"/>
              </w:rPr>
            </w:r>
          </w:p>
        </w:tc>
      </w:tr>
      <w:tr>
        <w:trPr/>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 (1)</w:t>
              <w:b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Rate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Spread Above</w:t>
              <w:br/>
              <w:t>Index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 xml:space="preserve">of Net </w:t>
              <w:br/>
              <w:t>Assets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Non-control/Non-affiliate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12 Interactive, LLC (D/B/A PerkSpot) (21)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Software Publishers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9.42%</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5.75%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9/5/2025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3/5/2027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1,110</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1,120</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(Revolver)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n/m (18)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9/5/2025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9/5/2030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2,573</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2,548</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2,570</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24 Seven Holdco, LLC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Temporary Help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10.96%</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7.13%</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1/28/2022</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11/16/2027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8,386</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8,366</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8,361</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AIDC IntermediateCo 2, LLC (15)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Computer Systems Design Services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7/22/2022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8.97%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5.25%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7/31/2023</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7/22/2027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Allen Media, LLC (15)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Cable and Other Subscription Programming</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2/10/2027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Associated Spring, LLC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Spring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8.59%</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4.75%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12/10/2024</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4/4/2030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2,219</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2,183</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2,212</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(Delayed Draw)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4/4/2030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2,413</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2,445</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Asurion, LLC (14)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Communication Equipment Repair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7.97%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4.25%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10/28/2025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9/19/2030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1,496</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1,498</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Avison Young Inc. (8)</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Nonresidential Property Managers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3.70% cash / 8.50%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(11) (15)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5.20% cash / 5.85% PIK</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7.35%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12/18/2025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12/12/2027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(11)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5.49% cash / 6.50%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11/25/2021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(6) (10) (11) (15)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5.60% cash / 6.50% PIK</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8.00%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11/25/2021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3/12/2029</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(Delayed Draw)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n/m (18)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12/12/2027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Equity (1,185</w:t>
            </w:r>
            <w:r>
              <w:rPr>
                <w:rFonts w:ascii="Times New Roman" w:hAnsi="Times New Roman"/>
                <w:color w:val="000000"/>
                <w:sz w:val="20"/>
              </w:rPr>
              <w:t> </w:t>
            </w:r>
            <w:r>
              <w:rPr>
                <w:rFonts w:ascii="Times New Roman" w:hAnsi="Times New Roman"/>
                <w:color w:val="000000"/>
                <w:sz w:val="16"/>
              </w:rPr>
              <w:t xml:space="preserve">Class B units) (10) </w:t>
              <w:br/>
              <w:t>(13) (15)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3/12/2024</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Preferred Equity (1,715</w:t>
            </w:r>
            <w:r>
              <w:rPr>
                <w:rFonts w:ascii="Times New Roman" w:hAnsi="Times New Roman"/>
                <w:color w:val="000000"/>
                <w:sz w:val="20"/>
              </w:rPr>
              <w:t> </w:t>
            </w:r>
            <w:r>
              <w:rPr>
                <w:rFonts w:ascii="Times New Roman" w:hAnsi="Times New Roman"/>
                <w:color w:val="000000"/>
                <w:sz w:val="16"/>
              </w:rPr>
              <w:t xml:space="preserve">Class A units) </w:t>
              <w:br/>
              <w:t>12.5% PIK (10) (13)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4,865</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2,136</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b/>
          <w:color w:val="000000"/>
          <w:sz w:val="20"/>
        </w:rPr>
      </w:pPr>
      <w:r>
        <w:rPr>
          <w:rFonts w:ascii="Times New Roman" w:hAnsi="Times New Roman"/>
          <w:b/>
          <w:color w:val="000000"/>
          <w:sz w:val="20"/>
        </w:rPr>
        <w:t>Consolidated Schedule of Investments (continued)</w:t>
      </w:r>
    </w:p>
    <w:p>
      <w:pPr>
        <w:pStyle w:val="TextBody"/>
        <w:bidi w:val="0"/>
        <w:jc w:val="left"/>
        <w:rPr>
          <w:rFonts w:ascii="Times New Roman" w:hAnsi="Times New Roman"/>
          <w:b/>
          <w:color w:val="000000"/>
          <w:sz w:val="20"/>
        </w:rPr>
      </w:pPr>
      <w:r>
        <w:rPr>
          <w:rFonts w:ascii="Times New Roman" w:hAnsi="Times New Roman"/>
          <w:b/>
          <w:color w:val="000000"/>
          <w:sz w:val="20"/>
        </w:rPr>
        <w:t>December 31, 2025</w:t>
      </w:r>
    </w:p>
    <w:p>
      <w:pPr>
        <w:pStyle w:val="TextBody"/>
        <w:bidi w:val="0"/>
        <w:jc w:val="left"/>
        <w:rPr>
          <w:rFonts w:ascii="Times New Roman" w:hAnsi="Times New Roman"/>
          <w:b/>
          <w:color w:val="000000"/>
          <w:sz w:val="20"/>
        </w:rPr>
      </w:pPr>
      <w:r>
        <w:rPr>
          <w:rFonts w:ascii="Times New Roman" w:hAnsi="Times New Roman"/>
          <w:b/>
          <w:color w:val="000000"/>
          <w:sz w:val="20"/>
        </w:rPr>
        <w:t>(Dollar amounts in thousands)</w:t>
      </w:r>
    </w:p>
    <w:p>
      <w:pPr>
        <w:pStyle w:val="TextBody"/>
        <w:bidi w:val="0"/>
        <w:jc w:val="left"/>
        <w:rPr/>
      </w:pPr>
      <w:r>
        <w:rPr/>
        <w:t> </w:t>
      </w:r>
    </w:p>
    <w:tbl>
      <w:tblPr>
        <w:tblW w:w="10910" w:type="dxa"/>
        <w:jc w:val="left"/>
        <w:tblInd w:w="0" w:type="dxa"/>
        <w:tblLayout w:type="fixed"/>
        <w:tblCellMar>
          <w:top w:w="28" w:type="dxa"/>
          <w:left w:w="28" w:type="dxa"/>
          <w:bottom w:w="28" w:type="dxa"/>
          <w:right w:w="28" w:type="dxa"/>
        </w:tblCellMar>
      </w:tblPr>
      <w:tblGrid>
        <w:gridCol w:w="1336"/>
        <w:gridCol w:w="146"/>
        <w:gridCol w:w="1066"/>
        <w:gridCol w:w="146"/>
        <w:gridCol w:w="661"/>
        <w:gridCol w:w="146"/>
        <w:gridCol w:w="511"/>
        <w:gridCol w:w="511"/>
        <w:gridCol w:w="146"/>
        <w:gridCol w:w="916"/>
        <w:gridCol w:w="146"/>
        <w:gridCol w:w="766"/>
        <w:gridCol w:w="146"/>
        <w:gridCol w:w="149"/>
        <w:gridCol w:w="617"/>
        <w:gridCol w:w="146"/>
        <w:gridCol w:w="146"/>
        <w:gridCol w:w="170"/>
        <w:gridCol w:w="701"/>
        <w:gridCol w:w="146"/>
        <w:gridCol w:w="146"/>
        <w:gridCol w:w="146"/>
        <w:gridCol w:w="601"/>
        <w:gridCol w:w="146"/>
        <w:gridCol w:w="146"/>
        <w:gridCol w:w="196"/>
        <w:gridCol w:w="465"/>
        <w:gridCol w:w="346"/>
      </w:tblGrid>
      <w:tr>
        <w:trPr/>
        <w:tc>
          <w:tcPr>
            <w:tcW w:w="13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9" w:type="dxa"/>
            <w:tcBorders/>
            <w:shd w:fill="FFFFFF" w:val="clear"/>
            <w:vAlign w:val="center"/>
          </w:tcPr>
          <w:p>
            <w:pPr>
              <w:pStyle w:val="TableContents"/>
              <w:bidi w:val="0"/>
              <w:spacing w:before="0" w:after="283"/>
              <w:jc w:val="left"/>
              <w:rPr>
                <w:sz w:val="4"/>
                <w:szCs w:val="4"/>
              </w:rPr>
            </w:pPr>
            <w:r>
              <w:rPr>
                <w:sz w:val="4"/>
                <w:szCs w:val="4"/>
              </w:rPr>
            </w:r>
          </w:p>
        </w:tc>
        <w:tc>
          <w:tcPr>
            <w:tcW w:w="61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sz w:val="4"/>
                <w:szCs w:val="4"/>
              </w:rPr>
            </w:pPr>
            <w:r>
              <w:rPr>
                <w:sz w:val="4"/>
                <w:szCs w:val="4"/>
              </w:rPr>
            </w:r>
          </w:p>
        </w:tc>
        <w:tc>
          <w:tcPr>
            <w:tcW w:w="7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465" w:type="dxa"/>
            <w:tcBorders/>
            <w:shd w:fill="FFFFFF" w:val="clear"/>
            <w:vAlign w:val="center"/>
          </w:tcPr>
          <w:p>
            <w:pPr>
              <w:pStyle w:val="TableContents"/>
              <w:bidi w:val="0"/>
              <w:spacing w:before="0" w:after="283"/>
              <w:jc w:val="left"/>
              <w:rPr>
                <w:sz w:val="4"/>
                <w:szCs w:val="4"/>
              </w:rPr>
            </w:pPr>
            <w:r>
              <w:rPr>
                <w:sz w:val="4"/>
                <w:szCs w:val="4"/>
              </w:rPr>
            </w:r>
          </w:p>
        </w:tc>
        <w:tc>
          <w:tcPr>
            <w:tcW w:w="346" w:type="dxa"/>
            <w:tcBorders/>
            <w:shd w:fill="FFFFFF" w:val="clear"/>
            <w:vAlign w:val="center"/>
          </w:tcPr>
          <w:p>
            <w:pPr>
              <w:pStyle w:val="TableContents"/>
              <w:bidi w:val="0"/>
              <w:spacing w:before="0" w:after="283"/>
              <w:jc w:val="left"/>
              <w:rPr>
                <w:sz w:val="4"/>
                <w:szCs w:val="4"/>
              </w:rPr>
            </w:pPr>
            <w:r>
              <w:rPr>
                <w:sz w:val="4"/>
                <w:szCs w:val="4"/>
              </w:rPr>
            </w:r>
          </w:p>
        </w:tc>
      </w:tr>
      <w:tr>
        <w:trPr/>
        <w:tc>
          <w:tcPr>
            <w:tcW w:w="1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 (1)</w:t>
              <w:b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Rate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Spread Above</w:t>
              <w:br/>
              <w:t>Index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 xml:space="preserve">of Net </w:t>
              <w:br/>
              <w:t>Assets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BayMark Health Services, Inc. (6) (15)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Outpatient Mental Health and Substance Abuse Centers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14.70%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10.50%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6/10/2021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6/11/2028</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3,988</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3,961</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3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Boca Home Care Holdings, Inc. (19)</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Services for the Elderly and </w:t>
              <w:br/>
              <w:t>Persons with Disabilities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(Revolver) (5)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10.59%</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6.50%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2/25/2022</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2/25/2027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Equity (1,290</w:t>
            </w:r>
            <w:r>
              <w:rPr>
                <w:rFonts w:ascii="Times New Roman" w:hAnsi="Times New Roman"/>
                <w:color w:val="000000"/>
                <w:sz w:val="20"/>
              </w:rPr>
              <w:t> </w:t>
            </w:r>
            <w:r>
              <w:rPr>
                <w:rFonts w:ascii="Times New Roman" w:hAnsi="Times New Roman"/>
                <w:color w:val="000000"/>
                <w:sz w:val="16"/>
              </w:rPr>
              <w:t>Class A units) (10)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Preferred Equity (3,446</w:t>
            </w:r>
            <w:r>
              <w:rPr>
                <w:rFonts w:ascii="Times New Roman" w:hAnsi="Times New Roman"/>
                <w:color w:val="000000"/>
                <w:sz w:val="20"/>
              </w:rPr>
              <w:t> </w:t>
            </w:r>
            <w:r>
              <w:rPr>
                <w:rFonts w:ascii="Times New Roman" w:hAnsi="Times New Roman"/>
                <w:color w:val="000000"/>
                <w:sz w:val="16"/>
              </w:rPr>
              <w:t xml:space="preserve">Class A Units), </w:t>
              <w:br/>
              <w:t>12% cash / 2.0% PIK</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3/3/2023</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3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Clevertech Bidco, LLC</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Commodity Contracts Dealing</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11/3/2023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12/30/2027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(Revolver) (5)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6.75%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11/3/2023</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12/30/2027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3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Constellis Holdings, LLC (10)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Other Justice, Public Order, </w:t>
              <w:br/>
              <w:t>and Safety Activities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Equity (20,628</w:t>
            </w:r>
            <w:r>
              <w:rPr>
                <w:rFonts w:ascii="Times New Roman" w:hAnsi="Times New Roman"/>
                <w:color w:val="000000"/>
                <w:sz w:val="20"/>
              </w:rPr>
              <w:t> </w:t>
            </w:r>
            <w:r>
              <w:rPr>
                <w:rFonts w:ascii="Times New Roman" w:hAnsi="Times New Roman"/>
                <w:color w:val="000000"/>
                <w:sz w:val="16"/>
              </w:rPr>
              <w:t>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3/27/2020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xml:space="preserve">Envocore Holding, LLC (F/K/A LRI Holding, </w:t>
              <w:br/>
              <w:t>LLC) (17)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Electrical Contractors and Other Wiring Installation Contractors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7.50%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6/30/2017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 (6)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10.00%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(Revolver) (5)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n/m (18)</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11/29/2021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Participation Rights (7)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15,757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17,473</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8,549</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Excelin Home Health, LLC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Home Health Care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18.00% PIK</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10/25/2018</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10/1/2026</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7,119</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4,079</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GoTo Group (F/K/A LogMeIn, Inc.) (14) (15)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Data Processing, Hosting, and</w:t>
              <w:br/>
              <w:t>Related Services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3/26/2021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4/28/2028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8.79%</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4.75%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3/26/2021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4/28/2028</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1,280</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3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xml:space="preserve">Heritage Grocers Group, LLC. (F/K/A Tony's </w:t>
              <w:br/>
              <w:t>Fresh Market / Cardenas Markets) (14) (15)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Supermarkets and Other Grocery (except Convenience) Stores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7/20/2022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33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b/>
          <w:color w:val="000000"/>
          <w:sz w:val="20"/>
        </w:rPr>
      </w:pPr>
      <w:r>
        <w:rPr>
          <w:rFonts w:ascii="Times New Roman" w:hAnsi="Times New Roman"/>
          <w:b/>
          <w:color w:val="000000"/>
          <w:sz w:val="20"/>
        </w:rPr>
        <w:t>Consolidated Schedule of Investments (continued)</w:t>
      </w:r>
    </w:p>
    <w:p>
      <w:pPr>
        <w:pStyle w:val="TextBody"/>
        <w:bidi w:val="0"/>
        <w:jc w:val="left"/>
        <w:rPr>
          <w:rFonts w:ascii="Times New Roman" w:hAnsi="Times New Roman"/>
          <w:b/>
          <w:color w:val="000000"/>
          <w:sz w:val="20"/>
        </w:rPr>
      </w:pPr>
      <w:r>
        <w:rPr>
          <w:rFonts w:ascii="Times New Roman" w:hAnsi="Times New Roman"/>
          <w:b/>
          <w:color w:val="000000"/>
          <w:sz w:val="20"/>
        </w:rPr>
        <w:t>December 31, 2025</w:t>
      </w:r>
    </w:p>
    <w:p>
      <w:pPr>
        <w:pStyle w:val="TextBody"/>
        <w:bidi w:val="0"/>
        <w:jc w:val="left"/>
        <w:rPr>
          <w:rFonts w:ascii="Times New Roman" w:hAnsi="Times New Roman"/>
          <w:b/>
          <w:color w:val="000000"/>
          <w:sz w:val="20"/>
        </w:rPr>
      </w:pPr>
      <w:r>
        <w:rPr>
          <w:rFonts w:ascii="Times New Roman" w:hAnsi="Times New Roman"/>
          <w:b/>
          <w:color w:val="000000"/>
          <w:sz w:val="20"/>
        </w:rPr>
        <w:t>(Dollar amounts in thousands)</w:t>
      </w:r>
    </w:p>
    <w:p>
      <w:pPr>
        <w:pStyle w:val="TextBody"/>
        <w:bidi w:val="0"/>
        <w:jc w:val="left"/>
        <w:rPr/>
      </w:pPr>
      <w:r>
        <w:rPr/>
        <w:t> </w:t>
      </w:r>
    </w:p>
    <w:tbl>
      <w:tblPr>
        <w:tblW w:w="10545" w:type="dxa"/>
        <w:jc w:val="left"/>
        <w:tblInd w:w="0" w:type="dxa"/>
        <w:tblLayout w:type="fixed"/>
        <w:tblCellMar>
          <w:top w:w="28" w:type="dxa"/>
          <w:left w:w="28" w:type="dxa"/>
          <w:bottom w:w="28" w:type="dxa"/>
          <w:right w:w="28" w:type="dxa"/>
        </w:tblCellMar>
      </w:tblPr>
      <w:tblGrid>
        <w:gridCol w:w="1141"/>
        <w:gridCol w:w="146"/>
        <w:gridCol w:w="946"/>
        <w:gridCol w:w="146"/>
        <w:gridCol w:w="661"/>
        <w:gridCol w:w="146"/>
        <w:gridCol w:w="511"/>
        <w:gridCol w:w="421"/>
        <w:gridCol w:w="146"/>
        <w:gridCol w:w="916"/>
        <w:gridCol w:w="146"/>
        <w:gridCol w:w="766"/>
        <w:gridCol w:w="146"/>
        <w:gridCol w:w="149"/>
        <w:gridCol w:w="617"/>
        <w:gridCol w:w="146"/>
        <w:gridCol w:w="146"/>
        <w:gridCol w:w="170"/>
        <w:gridCol w:w="701"/>
        <w:gridCol w:w="166"/>
        <w:gridCol w:w="146"/>
        <w:gridCol w:w="146"/>
        <w:gridCol w:w="601"/>
        <w:gridCol w:w="166"/>
        <w:gridCol w:w="146"/>
        <w:gridCol w:w="170"/>
        <w:gridCol w:w="491"/>
        <w:gridCol w:w="346"/>
      </w:tblGrid>
      <w:tr>
        <w:trPr/>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9" w:type="dxa"/>
            <w:tcBorders/>
            <w:shd w:fill="FFFFFF" w:val="clear"/>
            <w:vAlign w:val="center"/>
          </w:tcPr>
          <w:p>
            <w:pPr>
              <w:pStyle w:val="TableContents"/>
              <w:bidi w:val="0"/>
              <w:spacing w:before="0" w:after="283"/>
              <w:jc w:val="left"/>
              <w:rPr>
                <w:sz w:val="4"/>
                <w:szCs w:val="4"/>
              </w:rPr>
            </w:pPr>
            <w:r>
              <w:rPr>
                <w:sz w:val="4"/>
                <w:szCs w:val="4"/>
              </w:rPr>
            </w:r>
          </w:p>
        </w:tc>
        <w:tc>
          <w:tcPr>
            <w:tcW w:w="61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sz w:val="4"/>
                <w:szCs w:val="4"/>
              </w:rPr>
            </w:pPr>
            <w:r>
              <w:rPr>
                <w:sz w:val="4"/>
                <w:szCs w:val="4"/>
              </w:rPr>
            </w:r>
          </w:p>
        </w:tc>
        <w:tc>
          <w:tcPr>
            <w:tcW w:w="70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sz w:val="4"/>
                <w:szCs w:val="4"/>
              </w:rPr>
            </w:pPr>
            <w:r>
              <w:rPr>
                <w:sz w:val="4"/>
                <w:szCs w:val="4"/>
              </w:rPr>
            </w:r>
          </w:p>
        </w:tc>
        <w:tc>
          <w:tcPr>
            <w:tcW w:w="491" w:type="dxa"/>
            <w:tcBorders/>
            <w:shd w:fill="FFFFFF" w:val="clear"/>
            <w:vAlign w:val="center"/>
          </w:tcPr>
          <w:p>
            <w:pPr>
              <w:pStyle w:val="TableContents"/>
              <w:bidi w:val="0"/>
              <w:spacing w:before="0" w:after="283"/>
              <w:jc w:val="left"/>
              <w:rPr>
                <w:sz w:val="4"/>
                <w:szCs w:val="4"/>
              </w:rPr>
            </w:pPr>
            <w:r>
              <w:rPr>
                <w:sz w:val="4"/>
                <w:szCs w:val="4"/>
              </w:rPr>
            </w:r>
          </w:p>
        </w:tc>
        <w:tc>
          <w:tcPr>
            <w:tcW w:w="346" w:type="dxa"/>
            <w:tcBorders/>
            <w:shd w:fill="FFFFFF" w:val="clear"/>
            <w:vAlign w:val="center"/>
          </w:tcPr>
          <w:p>
            <w:pPr>
              <w:pStyle w:val="TableContents"/>
              <w:bidi w:val="0"/>
              <w:spacing w:before="0" w:after="283"/>
              <w:jc w:val="left"/>
              <w:rPr>
                <w:sz w:val="4"/>
                <w:szCs w:val="4"/>
              </w:rPr>
            </w:pPr>
            <w:r>
              <w:rPr>
                <w:sz w:val="4"/>
                <w:szCs w:val="4"/>
              </w:rPr>
            </w:r>
          </w:p>
        </w:tc>
      </w:tr>
      <w:tr>
        <w:trPr/>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 (1)</w:t>
              <w:b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Rate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Spread Above</w:t>
              <w:br/>
              <w:t>Index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 xml:space="preserve">of Net </w:t>
              <w:br/>
              <w:t>Assets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Honor HN Buyer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Services for the Elderly and </w:t>
              <w:br/>
              <w:t>Persons with Disabilities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9.57%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5.75%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10/15/2021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10/15/2027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3,132</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3,114</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3,132</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10/15/2021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(Revolver) (5)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11.50%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Prime+</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4.75%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10/15/2021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10/15/2027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10/15/2027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(Delayed Draw) (5) (15)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n/m (18)</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5.75%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10/15/2024</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10/15/2026</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Idera Inc.</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Computer and Computer </w:t>
              <w:br/>
              <w:t xml:space="preserve">Peripheral Equipment and </w:t>
              <w:br/>
              <w:t>Software Merchant Wholesalers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1/27/2022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Inergex Holdings, LLC (19)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Computer Related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10.82%</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7.00%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10/1/2018</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10/1/2026</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14,616</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14,562</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14,616</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16,960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16,906</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16,960</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Integrated Energy Services,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Computer Systems Design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5.50%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12/18/2025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12/19/2030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(Delayed Draw)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n/m (18)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12/18/2025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12/19/2030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(Revolver) (5)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n/m (18)</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5.50%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12/18/2025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12/19/2030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JP Intermediate B, LLC</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Drugs and Druggists' Sundries Merchant Wholesalers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5.17% cash / 4.00% PIK</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5.50%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1/14/2021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3/31/2031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1,499</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1,499</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1,474</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Equity (12,663</w:t>
            </w:r>
            <w:r>
              <w:rPr>
                <w:rFonts w:ascii="Times New Roman" w:hAnsi="Times New Roman"/>
                <w:color w:val="000000"/>
                <w:sz w:val="20"/>
              </w:rPr>
              <w:t> </w:t>
            </w:r>
            <w:r>
              <w:rPr>
                <w:rFonts w:ascii="Times New Roman" w:hAnsi="Times New Roman"/>
                <w:color w:val="000000"/>
                <w:sz w:val="16"/>
              </w:rPr>
              <w:t>Units) (10)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1,834</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4,826</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1,809</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Kreg LLC (20)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Ambulatory Health Care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(11) (15)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10.07% cash / 0.50% PIK</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6.25%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12/20/2021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12/20/2026</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17,256</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17,233</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16,773</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(Revolver)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18,593</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18,568</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18,073</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xml:space="preserve">M2S Group Intermediate Holdings Inc. </w:t>
              <w:br/>
              <w:t>(14)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Plastics Packaging Film and </w:t>
              <w:br/>
              <w:t>Sheet (including Laminated)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8.59%</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4.75%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10/28/2025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8/25/2031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1,483</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Medrina LLC</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 Other Outpatient Care Centers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10.22%</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6.00%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10/20/2023</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10/20/2029</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(Revolver)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n/m (18)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2,514</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2,557</w:t>
            </w:r>
          </w:p>
        </w:tc>
        <w:tc>
          <w:tcPr>
            <w:tcW w:w="16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b/>
          <w:color w:val="000000"/>
          <w:sz w:val="20"/>
        </w:rPr>
      </w:pPr>
      <w:r>
        <w:rPr>
          <w:rFonts w:ascii="Times New Roman" w:hAnsi="Times New Roman"/>
          <w:b/>
          <w:color w:val="000000"/>
          <w:sz w:val="20"/>
        </w:rPr>
        <w:t>Consolidated Schedule of Investments (continued)</w:t>
      </w:r>
    </w:p>
    <w:p>
      <w:pPr>
        <w:pStyle w:val="TextBody"/>
        <w:bidi w:val="0"/>
        <w:jc w:val="left"/>
        <w:rPr>
          <w:rFonts w:ascii="Times New Roman" w:hAnsi="Times New Roman"/>
          <w:b/>
          <w:color w:val="000000"/>
          <w:sz w:val="20"/>
        </w:rPr>
      </w:pPr>
      <w:r>
        <w:rPr>
          <w:rFonts w:ascii="Times New Roman" w:hAnsi="Times New Roman"/>
          <w:b/>
          <w:color w:val="000000"/>
          <w:sz w:val="20"/>
        </w:rPr>
        <w:t>December 31, 2025</w:t>
      </w:r>
    </w:p>
    <w:p>
      <w:pPr>
        <w:pStyle w:val="TextBody"/>
        <w:bidi w:val="0"/>
        <w:jc w:val="left"/>
        <w:rPr>
          <w:rFonts w:ascii="Times New Roman" w:hAnsi="Times New Roman"/>
          <w:b/>
          <w:color w:val="000000"/>
          <w:sz w:val="20"/>
        </w:rPr>
      </w:pPr>
      <w:r>
        <w:rPr>
          <w:rFonts w:ascii="Times New Roman" w:hAnsi="Times New Roman"/>
          <w:b/>
          <w:color w:val="000000"/>
          <w:sz w:val="20"/>
        </w:rPr>
        <w:t>(Dollar amounts in thousands)</w:t>
      </w:r>
    </w:p>
    <w:p>
      <w:pPr>
        <w:pStyle w:val="TextBody"/>
        <w:bidi w:val="0"/>
        <w:jc w:val="left"/>
        <w:rPr/>
      </w:pPr>
      <w:r>
        <w:rPr/>
        <w:t> </w:t>
      </w:r>
    </w:p>
    <w:tbl>
      <w:tblPr>
        <w:tblW w:w="10715" w:type="dxa"/>
        <w:jc w:val="left"/>
        <w:tblInd w:w="0" w:type="dxa"/>
        <w:tblLayout w:type="fixed"/>
        <w:tblCellMar>
          <w:top w:w="28" w:type="dxa"/>
          <w:left w:w="28" w:type="dxa"/>
          <w:bottom w:w="28" w:type="dxa"/>
          <w:right w:w="28" w:type="dxa"/>
        </w:tblCellMar>
      </w:tblPr>
      <w:tblGrid>
        <w:gridCol w:w="1156"/>
        <w:gridCol w:w="146"/>
        <w:gridCol w:w="1141"/>
        <w:gridCol w:w="146"/>
        <w:gridCol w:w="661"/>
        <w:gridCol w:w="146"/>
        <w:gridCol w:w="511"/>
        <w:gridCol w:w="421"/>
        <w:gridCol w:w="146"/>
        <w:gridCol w:w="916"/>
        <w:gridCol w:w="146"/>
        <w:gridCol w:w="766"/>
        <w:gridCol w:w="146"/>
        <w:gridCol w:w="149"/>
        <w:gridCol w:w="617"/>
        <w:gridCol w:w="146"/>
        <w:gridCol w:w="146"/>
        <w:gridCol w:w="170"/>
        <w:gridCol w:w="701"/>
        <w:gridCol w:w="146"/>
        <w:gridCol w:w="146"/>
        <w:gridCol w:w="146"/>
        <w:gridCol w:w="601"/>
        <w:gridCol w:w="146"/>
        <w:gridCol w:w="146"/>
        <w:gridCol w:w="202"/>
        <w:gridCol w:w="459"/>
        <w:gridCol w:w="346"/>
      </w:tblGrid>
      <w:tr>
        <w:trPr/>
        <w:tc>
          <w:tcPr>
            <w:tcW w:w="11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9" w:type="dxa"/>
            <w:tcBorders/>
            <w:shd w:fill="FFFFFF" w:val="clear"/>
            <w:vAlign w:val="center"/>
          </w:tcPr>
          <w:p>
            <w:pPr>
              <w:pStyle w:val="TableContents"/>
              <w:bidi w:val="0"/>
              <w:spacing w:before="0" w:after="283"/>
              <w:jc w:val="left"/>
              <w:rPr>
                <w:sz w:val="4"/>
                <w:szCs w:val="4"/>
              </w:rPr>
            </w:pPr>
            <w:r>
              <w:rPr>
                <w:sz w:val="4"/>
                <w:szCs w:val="4"/>
              </w:rPr>
            </w:r>
          </w:p>
        </w:tc>
        <w:tc>
          <w:tcPr>
            <w:tcW w:w="61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sz w:val="4"/>
                <w:szCs w:val="4"/>
              </w:rPr>
            </w:pPr>
            <w:r>
              <w:rPr>
                <w:sz w:val="4"/>
                <w:szCs w:val="4"/>
              </w:rPr>
            </w:r>
          </w:p>
        </w:tc>
        <w:tc>
          <w:tcPr>
            <w:tcW w:w="7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2" w:type="dxa"/>
            <w:tcBorders/>
            <w:shd w:fill="FFFFFF" w:val="clear"/>
            <w:vAlign w:val="center"/>
          </w:tcPr>
          <w:p>
            <w:pPr>
              <w:pStyle w:val="TableContents"/>
              <w:bidi w:val="0"/>
              <w:spacing w:before="0" w:after="283"/>
              <w:jc w:val="left"/>
              <w:rPr>
                <w:sz w:val="4"/>
                <w:szCs w:val="4"/>
              </w:rPr>
            </w:pPr>
            <w:r>
              <w:rPr>
                <w:sz w:val="4"/>
                <w:szCs w:val="4"/>
              </w:rPr>
            </w:r>
          </w:p>
        </w:tc>
        <w:tc>
          <w:tcPr>
            <w:tcW w:w="459" w:type="dxa"/>
            <w:tcBorders/>
            <w:shd w:fill="FFFFFF" w:val="clear"/>
            <w:vAlign w:val="center"/>
          </w:tcPr>
          <w:p>
            <w:pPr>
              <w:pStyle w:val="TableContents"/>
              <w:bidi w:val="0"/>
              <w:spacing w:before="0" w:after="283"/>
              <w:jc w:val="left"/>
              <w:rPr>
                <w:sz w:val="4"/>
                <w:szCs w:val="4"/>
              </w:rPr>
            </w:pPr>
            <w:r>
              <w:rPr>
                <w:sz w:val="4"/>
                <w:szCs w:val="4"/>
              </w:rPr>
            </w:r>
          </w:p>
        </w:tc>
        <w:tc>
          <w:tcPr>
            <w:tcW w:w="346" w:type="dxa"/>
            <w:tcBorders/>
            <w:shd w:fill="FFFFFF" w:val="clear"/>
            <w:vAlign w:val="center"/>
          </w:tcPr>
          <w:p>
            <w:pPr>
              <w:pStyle w:val="TableContents"/>
              <w:bidi w:val="0"/>
              <w:spacing w:before="0" w:after="283"/>
              <w:jc w:val="left"/>
              <w:rPr>
                <w:sz w:val="4"/>
                <w:szCs w:val="4"/>
              </w:rPr>
            </w:pPr>
            <w:r>
              <w:rPr>
                <w:sz w:val="4"/>
                <w:szCs w:val="4"/>
              </w:rPr>
            </w:r>
          </w:p>
        </w:tc>
      </w:tr>
      <w:tr>
        <w:trPr/>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 (1)</w:t>
              <w:b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Rate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Spread Above</w:t>
              <w:br/>
              <w:t>Index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 xml:space="preserve">of Net </w:t>
              <w:br/>
              <w:t>Assets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Metasource, LLC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 Other Business Support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10.18% cash / 0.50% PIK</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6.25%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5/17/2022</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5/17/2027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2,708</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One GI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Offices of Other Holding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6.75%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12/13/2021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12/22/2025</w:t>
            </w:r>
            <w:r>
              <w:rPr>
                <w:rFonts w:ascii="Times New Roman" w:hAnsi="Times New Roman"/>
                <w:color w:val="000000"/>
                <w:sz w:val="20"/>
              </w:rPr>
              <w:t> </w:t>
            </w:r>
            <w:r>
              <w:rPr>
                <w:rFonts w:ascii="Times New Roman" w:hAnsi="Times New Roman"/>
                <w:color w:val="000000"/>
                <w:sz w:val="16"/>
              </w:rPr>
              <w:t>(22)</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6,618</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12/13/2021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12/22/2025</w:t>
            </w:r>
            <w:r>
              <w:rPr>
                <w:rFonts w:ascii="Times New Roman" w:hAnsi="Times New Roman"/>
                <w:color w:val="000000"/>
                <w:sz w:val="20"/>
              </w:rPr>
              <w:t> </w:t>
            </w:r>
            <w:r>
              <w:rPr>
                <w:rFonts w:ascii="Times New Roman" w:hAnsi="Times New Roman"/>
                <w:color w:val="000000"/>
                <w:sz w:val="16"/>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(Revolver)</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10.57%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6.75%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12/13/2021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12/22/2025</w:t>
            </w:r>
            <w:r>
              <w:rPr>
                <w:rFonts w:ascii="Times New Roman" w:hAnsi="Times New Roman"/>
                <w:color w:val="000000"/>
                <w:sz w:val="20"/>
              </w:rPr>
              <w:t> </w:t>
            </w:r>
            <w:r>
              <w:rPr>
                <w:rFonts w:ascii="Times New Roman" w:hAnsi="Times New Roman"/>
                <w:color w:val="000000"/>
                <w:sz w:val="16"/>
              </w:rPr>
              <w:t>(22)</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1,444</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1,444</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1,313</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3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xml:space="preserve">Planet Bingo, LLC (F/K/A 3rd Rock Gaming </w:t>
              <w:br/>
              <w:t>Holdings, LLC) (6)</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Software Publishers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3/13/2018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PM Acquisition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All Other General Merchandise </w:t>
              <w:br/>
              <w:t>Stores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Equity (499</w:t>
            </w:r>
            <w:r>
              <w:rPr>
                <w:rFonts w:ascii="Times New Roman" w:hAnsi="Times New Roman"/>
                <w:color w:val="000000"/>
                <w:sz w:val="20"/>
              </w:rPr>
              <w:t> </w:t>
            </w:r>
            <w:r>
              <w:rPr>
                <w:rFonts w:ascii="Times New Roman" w:hAnsi="Times New Roman"/>
                <w:color w:val="000000"/>
                <w:sz w:val="16"/>
              </w:rPr>
              <w:t>units)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9/30/2017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PSB Group, LLC (19)</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Lessors of Nonfinancial Intangible Assets (except Copyrighted Works)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4/17/2030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(Revolver) (5)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10.47%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6.75%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4/17/2025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4/17/2030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3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xml:space="preserve">Redstone Holdco 2 LP (F/K/A RSA </w:t>
              <w:br/>
              <w:t>Security) (15)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Computer and Computer </w:t>
              <w:br/>
              <w:t xml:space="preserve">Peripheral Equipment and </w:t>
              <w:br/>
              <w:t>Software Merchant Wholesalers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4/16/2021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4/27/2028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xml:space="preserve">RideNow Group, Inc. (F/K/A RumbleOn, </w:t>
              <w:br/>
              <w:t>Inc.) (8)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Industrial Machinery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10.85% cash / 1.00% PIK</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7.75%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8/31/2021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2,384</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2,362</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2,299</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10.85% cash / 1.00%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8/31/2021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 xml:space="preserve">Warrants (warrants to purchase up to </w:t>
              <w:br/>
              <w:t>$73,000</w:t>
            </w:r>
            <w:r>
              <w:rPr>
                <w:rFonts w:ascii="Times New Roman" w:hAnsi="Times New Roman"/>
                <w:color w:val="000000"/>
                <w:sz w:val="20"/>
              </w:rPr>
              <w:t> </w:t>
            </w:r>
            <w:r>
              <w:rPr>
                <w:rFonts w:ascii="Times New Roman" w:hAnsi="Times New Roman"/>
                <w:color w:val="000000"/>
                <w:sz w:val="16"/>
              </w:rPr>
              <w:t>in common stock) (10)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8/31/2021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8/10/2030</w:t>
            </w:r>
            <w:r>
              <w:rPr>
                <w:rFonts w:ascii="Times New Roman" w:hAnsi="Times New Roman"/>
                <w:color w:val="000000"/>
                <w:sz w:val="20"/>
              </w:rPr>
              <w:t> </w:t>
            </w:r>
            <w:r>
              <w:rPr>
                <w:rFonts w:ascii="Times New Roman" w:hAnsi="Times New Roman"/>
                <w:color w:val="000000"/>
                <w:sz w:val="16"/>
              </w:rPr>
              <w:t>(12)</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45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3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RPLF Holdings, LLC (10) (13)</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Software Publishers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Equity (345,339</w:t>
            </w:r>
            <w:r>
              <w:rPr>
                <w:rFonts w:ascii="Times New Roman" w:hAnsi="Times New Roman"/>
                <w:color w:val="000000"/>
                <w:sz w:val="20"/>
              </w:rPr>
              <w:t> </w:t>
            </w:r>
            <w:r>
              <w:rPr>
                <w:rFonts w:ascii="Times New Roman" w:hAnsi="Times New Roman"/>
                <w:color w:val="000000"/>
                <w:sz w:val="16"/>
              </w:rPr>
              <w:t>Class A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1/17/2018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b/>
          <w:color w:val="000000"/>
          <w:sz w:val="20"/>
        </w:rPr>
      </w:pPr>
      <w:r>
        <w:rPr>
          <w:rFonts w:ascii="Times New Roman" w:hAnsi="Times New Roman"/>
          <w:b/>
          <w:color w:val="000000"/>
          <w:sz w:val="20"/>
        </w:rPr>
        <w:t>Consolidated Schedule of Investments (continued)</w:t>
      </w:r>
    </w:p>
    <w:p>
      <w:pPr>
        <w:pStyle w:val="TextBody"/>
        <w:bidi w:val="0"/>
        <w:jc w:val="left"/>
        <w:rPr>
          <w:rFonts w:ascii="Times New Roman" w:hAnsi="Times New Roman"/>
          <w:b/>
          <w:color w:val="000000"/>
          <w:sz w:val="20"/>
        </w:rPr>
      </w:pPr>
      <w:r>
        <w:rPr>
          <w:rFonts w:ascii="Times New Roman" w:hAnsi="Times New Roman"/>
          <w:b/>
          <w:color w:val="000000"/>
          <w:sz w:val="20"/>
        </w:rPr>
        <w:t>December 31, 2025</w:t>
      </w:r>
    </w:p>
    <w:p>
      <w:pPr>
        <w:pStyle w:val="TextBody"/>
        <w:bidi w:val="0"/>
        <w:jc w:val="left"/>
        <w:rPr>
          <w:rFonts w:ascii="Times New Roman" w:hAnsi="Times New Roman"/>
          <w:b/>
          <w:color w:val="000000"/>
          <w:sz w:val="20"/>
        </w:rPr>
      </w:pPr>
      <w:r>
        <w:rPr>
          <w:rFonts w:ascii="Times New Roman" w:hAnsi="Times New Roman"/>
          <w:b/>
          <w:color w:val="000000"/>
          <w:sz w:val="20"/>
        </w:rPr>
        <w:t>(Dollar amounts in thousands)</w:t>
      </w:r>
    </w:p>
    <w:p>
      <w:pPr>
        <w:pStyle w:val="TextBody"/>
        <w:bidi w:val="0"/>
        <w:jc w:val="left"/>
        <w:rPr/>
      </w:pPr>
      <w:r>
        <w:rPr/>
        <w:t> </w:t>
      </w:r>
    </w:p>
    <w:tbl>
      <w:tblPr>
        <w:tblW w:w="11127" w:type="dxa"/>
        <w:jc w:val="left"/>
        <w:tblInd w:w="0" w:type="dxa"/>
        <w:tblLayout w:type="fixed"/>
        <w:tblCellMar>
          <w:top w:w="28" w:type="dxa"/>
          <w:left w:w="28" w:type="dxa"/>
          <w:bottom w:w="28" w:type="dxa"/>
          <w:right w:w="28" w:type="dxa"/>
        </w:tblCellMar>
      </w:tblPr>
      <w:tblGrid>
        <w:gridCol w:w="1291"/>
        <w:gridCol w:w="146"/>
        <w:gridCol w:w="1141"/>
        <w:gridCol w:w="146"/>
        <w:gridCol w:w="661"/>
        <w:gridCol w:w="146"/>
        <w:gridCol w:w="511"/>
        <w:gridCol w:w="421"/>
        <w:gridCol w:w="146"/>
        <w:gridCol w:w="916"/>
        <w:gridCol w:w="146"/>
        <w:gridCol w:w="766"/>
        <w:gridCol w:w="146"/>
        <w:gridCol w:w="196"/>
        <w:gridCol w:w="691"/>
        <w:gridCol w:w="146"/>
        <w:gridCol w:w="146"/>
        <w:gridCol w:w="196"/>
        <w:gridCol w:w="691"/>
        <w:gridCol w:w="146"/>
        <w:gridCol w:w="146"/>
        <w:gridCol w:w="196"/>
        <w:gridCol w:w="691"/>
        <w:gridCol w:w="146"/>
        <w:gridCol w:w="146"/>
        <w:gridCol w:w="146"/>
        <w:gridCol w:w="515"/>
        <w:gridCol w:w="346"/>
      </w:tblGrid>
      <w:tr>
        <w:trPr/>
        <w:tc>
          <w:tcPr>
            <w:tcW w:w="12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5" w:type="dxa"/>
            <w:tcBorders/>
            <w:shd w:fill="FFFFFF" w:val="clear"/>
            <w:vAlign w:val="center"/>
          </w:tcPr>
          <w:p>
            <w:pPr>
              <w:pStyle w:val="TableContents"/>
              <w:bidi w:val="0"/>
              <w:spacing w:before="0" w:after="283"/>
              <w:jc w:val="left"/>
              <w:rPr>
                <w:sz w:val="4"/>
                <w:szCs w:val="4"/>
              </w:rPr>
            </w:pPr>
            <w:r>
              <w:rPr>
                <w:sz w:val="4"/>
                <w:szCs w:val="4"/>
              </w:rPr>
            </w:r>
          </w:p>
        </w:tc>
        <w:tc>
          <w:tcPr>
            <w:tcW w:w="346" w:type="dxa"/>
            <w:tcBorders/>
            <w:shd w:fill="FFFFFF" w:val="clear"/>
            <w:vAlign w:val="center"/>
          </w:tcPr>
          <w:p>
            <w:pPr>
              <w:pStyle w:val="TableContents"/>
              <w:bidi w:val="0"/>
              <w:spacing w:before="0" w:after="283"/>
              <w:jc w:val="left"/>
              <w:rPr>
                <w:sz w:val="4"/>
                <w:szCs w:val="4"/>
              </w:rPr>
            </w:pPr>
            <w:r>
              <w:rPr>
                <w:sz w:val="4"/>
                <w:szCs w:val="4"/>
              </w:rPr>
            </w:r>
          </w:p>
        </w:tc>
      </w:tr>
      <w:tr>
        <w:trPr/>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 (1)</w:t>
              <w:b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Rate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Spread Above</w:t>
              <w:br/>
              <w:t>Index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 xml:space="preserve">of Net </w:t>
              <w:br/>
              <w:t>Assets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Sentry Centers Holdings, LLC (10)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Convention and Trade Show Organizers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Preferred Equity (1,603</w:t>
            </w:r>
            <w:r>
              <w:rPr>
                <w:rFonts w:ascii="Times New Roman" w:hAnsi="Times New Roman"/>
                <w:color w:val="000000"/>
                <w:sz w:val="20"/>
              </w:rPr>
              <w:t> </w:t>
            </w:r>
            <w:r>
              <w:rPr>
                <w:rFonts w:ascii="Times New Roman" w:hAnsi="Times New Roman"/>
                <w:color w:val="000000"/>
                <w:sz w:val="16"/>
              </w:rPr>
              <w:t>Series B units)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9/4/2020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Signal Parent, Inc. (14)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New Single-Family Housing Construction (except For-Sale Builders)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7.44%</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3.50%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3/25/2021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4/3/2028</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1,518</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1,513</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1,096</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SS Acquisition, LLC (19)</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Sports and Recreation Instruction</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(Revolver) (5)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9.42%</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5.75%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12/20/2024</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12/20/2029</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493</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3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Staples, Inc. (14) (15)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Business to Business Electronic Markets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5/23/2024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9/4/2029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9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TalentSmart Holdings, LLC (10) (13) (19)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Professional and Management Development Training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Equity (1,595,238</w:t>
            </w:r>
            <w:r>
              <w:rPr>
                <w:rFonts w:ascii="Times New Roman" w:hAnsi="Times New Roman"/>
                <w:color w:val="000000"/>
                <w:sz w:val="20"/>
              </w:rPr>
              <w:t> </w:t>
            </w:r>
            <w:r>
              <w:rPr>
                <w:rFonts w:ascii="Times New Roman" w:hAnsi="Times New Roman"/>
                <w:color w:val="000000"/>
                <w:sz w:val="16"/>
              </w:rPr>
              <w:t>Class A shares)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10/11/2019</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Tolemar Acquisition, Inc.</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Motorcycle, Bicycle, and Parts Manufacturing</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9.82% cash / 1.25%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10/14/2021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10/14/2027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(Revolver) (5)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9.82%</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6.00%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10/14/2021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10/14/2027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3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United Biologics Holdings, LLC (10) (13)</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Medical Laboratories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Preferred Equity (151,786</w:t>
            </w:r>
            <w:r>
              <w:rPr>
                <w:rFonts w:ascii="Times New Roman" w:hAnsi="Times New Roman"/>
                <w:color w:val="000000"/>
                <w:sz w:val="20"/>
              </w:rPr>
              <w:t> </w:t>
            </w:r>
            <w:r>
              <w:rPr>
                <w:rFonts w:ascii="Times New Roman" w:hAnsi="Times New Roman"/>
                <w:color w:val="000000"/>
                <w:sz w:val="16"/>
              </w:rPr>
              <w:t>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4/16/2013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9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xml:space="preserve">Wellful Inc. (F/K/A KNS Acquisition Corp.) </w:t>
              <w:br/>
              <w:t>(11)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Electronic Shopping and </w:t>
              <w:br/>
              <w:t>Mail-Order Houses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8.33% cash / 1.75% PIK</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6.25%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4/16/2021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10/19/2030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3,738</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Debt and Equity Investments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216,070</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223,115</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180,465</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146.7</w:t>
            </w:r>
          </w:p>
        </w:tc>
        <w:tc>
          <w:tcPr>
            <w:tcW w:w="3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Structured Finance Securities (8)</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Apex Credit CLO 2020 Ltd. (9) (16)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Notes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9.87%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11/16/2020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4/20/2035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9,173</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5,653</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Apex Credit CLO 2021 Ltd. (9) (16)</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5/28/2021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7/18/2034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9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b/>
          <w:color w:val="000000"/>
          <w:sz w:val="20"/>
        </w:rPr>
      </w:pPr>
      <w:r>
        <w:rPr>
          <w:rFonts w:ascii="Times New Roman" w:hAnsi="Times New Roman"/>
          <w:b/>
          <w:color w:val="000000"/>
          <w:sz w:val="20"/>
        </w:rPr>
        <w:t>Consolidated Schedule of Investments (continued)</w:t>
      </w:r>
    </w:p>
    <w:p>
      <w:pPr>
        <w:pStyle w:val="TextBody"/>
        <w:bidi w:val="0"/>
        <w:jc w:val="left"/>
        <w:rPr>
          <w:rFonts w:ascii="Times New Roman" w:hAnsi="Times New Roman"/>
          <w:b/>
          <w:color w:val="000000"/>
          <w:sz w:val="20"/>
        </w:rPr>
      </w:pPr>
      <w:r>
        <w:rPr>
          <w:rFonts w:ascii="Times New Roman" w:hAnsi="Times New Roman"/>
          <w:b/>
          <w:color w:val="000000"/>
          <w:sz w:val="20"/>
        </w:rPr>
        <w:t>December 31, 2025</w:t>
      </w:r>
    </w:p>
    <w:p>
      <w:pPr>
        <w:pStyle w:val="TextBody"/>
        <w:bidi w:val="0"/>
        <w:jc w:val="left"/>
        <w:rPr>
          <w:rFonts w:ascii="Times New Roman" w:hAnsi="Times New Roman"/>
          <w:b/>
          <w:color w:val="000000"/>
          <w:sz w:val="20"/>
        </w:rPr>
      </w:pPr>
      <w:r>
        <w:rPr>
          <w:rFonts w:ascii="Times New Roman" w:hAnsi="Times New Roman"/>
          <w:b/>
          <w:color w:val="000000"/>
          <w:sz w:val="20"/>
        </w:rPr>
        <w:t>(Dollar amounts in thousands)</w:t>
      </w:r>
    </w:p>
    <w:p>
      <w:pPr>
        <w:pStyle w:val="TextBody"/>
        <w:bidi w:val="0"/>
        <w:jc w:val="left"/>
        <w:rPr/>
      </w:pPr>
      <w:r>
        <w:rPr/>
        <w:t> </w:t>
      </w:r>
    </w:p>
    <w:tbl>
      <w:tblPr>
        <w:tblW w:w="10527" w:type="dxa"/>
        <w:jc w:val="left"/>
        <w:tblInd w:w="0" w:type="dxa"/>
        <w:tblLayout w:type="fixed"/>
        <w:tblCellMar>
          <w:top w:w="28" w:type="dxa"/>
          <w:left w:w="28" w:type="dxa"/>
          <w:bottom w:w="28" w:type="dxa"/>
          <w:right w:w="28" w:type="dxa"/>
        </w:tblCellMar>
      </w:tblPr>
      <w:tblGrid>
        <w:gridCol w:w="1111"/>
        <w:gridCol w:w="146"/>
        <w:gridCol w:w="721"/>
        <w:gridCol w:w="146"/>
        <w:gridCol w:w="661"/>
        <w:gridCol w:w="146"/>
        <w:gridCol w:w="511"/>
        <w:gridCol w:w="421"/>
        <w:gridCol w:w="146"/>
        <w:gridCol w:w="916"/>
        <w:gridCol w:w="146"/>
        <w:gridCol w:w="766"/>
        <w:gridCol w:w="146"/>
        <w:gridCol w:w="196"/>
        <w:gridCol w:w="691"/>
        <w:gridCol w:w="146"/>
        <w:gridCol w:w="146"/>
        <w:gridCol w:w="196"/>
        <w:gridCol w:w="691"/>
        <w:gridCol w:w="146"/>
        <w:gridCol w:w="146"/>
        <w:gridCol w:w="196"/>
        <w:gridCol w:w="691"/>
        <w:gridCol w:w="146"/>
        <w:gridCol w:w="146"/>
        <w:gridCol w:w="146"/>
        <w:gridCol w:w="515"/>
        <w:gridCol w:w="346"/>
      </w:tblGrid>
      <w:tr>
        <w:trPr/>
        <w:tc>
          <w:tcPr>
            <w:tcW w:w="11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5" w:type="dxa"/>
            <w:tcBorders/>
            <w:shd w:fill="FFFFFF" w:val="clear"/>
            <w:vAlign w:val="center"/>
          </w:tcPr>
          <w:p>
            <w:pPr>
              <w:pStyle w:val="TableContents"/>
              <w:bidi w:val="0"/>
              <w:spacing w:before="0" w:after="283"/>
              <w:jc w:val="left"/>
              <w:rPr>
                <w:sz w:val="4"/>
                <w:szCs w:val="4"/>
              </w:rPr>
            </w:pPr>
            <w:r>
              <w:rPr>
                <w:sz w:val="4"/>
                <w:szCs w:val="4"/>
              </w:rPr>
            </w:r>
          </w:p>
        </w:tc>
        <w:tc>
          <w:tcPr>
            <w:tcW w:w="346" w:type="dxa"/>
            <w:tcBorders/>
            <w:shd w:fill="FFFFFF" w:val="clear"/>
            <w:vAlign w:val="center"/>
          </w:tcPr>
          <w:p>
            <w:pPr>
              <w:pStyle w:val="TableContents"/>
              <w:bidi w:val="0"/>
              <w:spacing w:before="0" w:after="283"/>
              <w:jc w:val="left"/>
              <w:rPr>
                <w:sz w:val="4"/>
                <w:szCs w:val="4"/>
              </w:rPr>
            </w:pPr>
            <w:r>
              <w:rPr>
                <w:sz w:val="4"/>
                <w:szCs w:val="4"/>
              </w:rPr>
            </w:r>
          </w:p>
        </w:tc>
      </w:tr>
      <w:tr>
        <w:trPr/>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 (1)</w:t>
              <w:b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Rate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Spread Above</w:t>
              <w:br/>
              <w:t>Index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 xml:space="preserve">of Net </w:t>
              <w:br/>
              <w:t>Assets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Apex Credit CLO 2022-1 Ltd. (9) (16)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Notes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20.68%</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4/28/2022</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10/22/2038</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17,074</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9,807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7,929</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Battalion CLO XI Ltd.</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Mezzanine Debt - Class 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4/25/2022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4/24/2034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BlueMountain CLO XXXV Ltd. (9) (16)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Notes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16.45%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10/30/2024</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10/22/2037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7,800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5,954</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4,644</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xml:space="preserve">Brightwood Capital MM CLO 2023-1, Ltd. </w:t>
              <w:br/>
              <w:t>(9) (16)</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9/28/2023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10/15/2035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Canyon CLO 2019-1, Ltd. (9) (16)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Notes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21.30%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8/22/2024</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7/15/2037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18,453</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8,539</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CBAMR 2017-1, Ltd. (9) (16)</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1/20/2038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ICG US CLO 2021-3, Ltd. (9) (16)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Notes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26.57%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8/8/2024</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10/20/2034</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16,750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7,942</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7,289</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LCM 42 Ltd. (9) (16)</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12/19/2024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1/15/2038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Madison Park Funding XXIX, Ltd. (9) (16)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Notes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17.42%</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12/22/2020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3/25/2038</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10,971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5,223</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Trinitas CLO VIII, Ltd. (4) (9) (10) (16)</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7/20/2117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Venture 45 CLO,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Mezzanine Debt - Class E</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11.58%</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7.70%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4/18/2022</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7/20/2035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2,963</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Voya CLO 2024-7, Ltd. (9) (16)</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1/7/2025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1/20/2038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Structured Finance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123,327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77,633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Non-control/Non-affiliate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339,397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300,748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242,070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1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b/>
          <w:color w:val="000000"/>
          <w:sz w:val="20"/>
        </w:rPr>
      </w:pPr>
      <w:r>
        <w:rPr>
          <w:rFonts w:ascii="Times New Roman" w:hAnsi="Times New Roman"/>
          <w:b/>
          <w:color w:val="000000"/>
          <w:sz w:val="20"/>
        </w:rPr>
        <w:t>Consolidated Schedule of Investments (continued)</w:t>
      </w:r>
    </w:p>
    <w:p>
      <w:pPr>
        <w:pStyle w:val="TextBody"/>
        <w:bidi w:val="0"/>
        <w:jc w:val="left"/>
        <w:rPr>
          <w:rFonts w:ascii="Times New Roman" w:hAnsi="Times New Roman"/>
          <w:b/>
          <w:color w:val="000000"/>
          <w:sz w:val="20"/>
        </w:rPr>
      </w:pPr>
      <w:r>
        <w:rPr>
          <w:rFonts w:ascii="Times New Roman" w:hAnsi="Times New Roman"/>
          <w:b/>
          <w:color w:val="000000"/>
          <w:sz w:val="20"/>
        </w:rPr>
        <w:t>December 31, 2025</w:t>
      </w:r>
    </w:p>
    <w:p>
      <w:pPr>
        <w:pStyle w:val="TextBody"/>
        <w:bidi w:val="0"/>
        <w:jc w:val="left"/>
        <w:rPr>
          <w:rFonts w:ascii="Times New Roman" w:hAnsi="Times New Roman"/>
          <w:b/>
          <w:color w:val="000000"/>
          <w:sz w:val="20"/>
        </w:rPr>
      </w:pPr>
      <w:r>
        <w:rPr>
          <w:rFonts w:ascii="Times New Roman" w:hAnsi="Times New Roman"/>
          <w:b/>
          <w:color w:val="000000"/>
          <w:sz w:val="20"/>
        </w:rPr>
        <w:t>(Dollar amounts in thousands)</w:t>
      </w:r>
    </w:p>
    <w:p>
      <w:pPr>
        <w:pStyle w:val="TextBody"/>
        <w:bidi w:val="0"/>
        <w:jc w:val="left"/>
        <w:rPr/>
      </w:pPr>
      <w:r>
        <w:rPr/>
        <w:t> </w:t>
      </w:r>
    </w:p>
    <w:tbl>
      <w:tblPr>
        <w:tblW w:w="11052" w:type="dxa"/>
        <w:jc w:val="left"/>
        <w:tblInd w:w="0" w:type="dxa"/>
        <w:tblLayout w:type="fixed"/>
        <w:tblCellMar>
          <w:top w:w="28" w:type="dxa"/>
          <w:left w:w="28" w:type="dxa"/>
          <w:bottom w:w="28" w:type="dxa"/>
          <w:right w:w="28" w:type="dxa"/>
        </w:tblCellMar>
      </w:tblPr>
      <w:tblGrid>
        <w:gridCol w:w="1201"/>
        <w:gridCol w:w="146"/>
        <w:gridCol w:w="1156"/>
        <w:gridCol w:w="146"/>
        <w:gridCol w:w="661"/>
        <w:gridCol w:w="146"/>
        <w:gridCol w:w="511"/>
        <w:gridCol w:w="421"/>
        <w:gridCol w:w="146"/>
        <w:gridCol w:w="916"/>
        <w:gridCol w:w="146"/>
        <w:gridCol w:w="766"/>
        <w:gridCol w:w="146"/>
        <w:gridCol w:w="196"/>
        <w:gridCol w:w="691"/>
        <w:gridCol w:w="146"/>
        <w:gridCol w:w="146"/>
        <w:gridCol w:w="196"/>
        <w:gridCol w:w="691"/>
        <w:gridCol w:w="146"/>
        <w:gridCol w:w="146"/>
        <w:gridCol w:w="196"/>
        <w:gridCol w:w="691"/>
        <w:gridCol w:w="146"/>
        <w:gridCol w:w="146"/>
        <w:gridCol w:w="146"/>
        <w:gridCol w:w="515"/>
        <w:gridCol w:w="346"/>
      </w:tblGrid>
      <w:tr>
        <w:trPr/>
        <w:tc>
          <w:tcPr>
            <w:tcW w:w="12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5" w:type="dxa"/>
            <w:tcBorders/>
            <w:shd w:fill="FFFFFF" w:val="clear"/>
            <w:vAlign w:val="center"/>
          </w:tcPr>
          <w:p>
            <w:pPr>
              <w:pStyle w:val="TableContents"/>
              <w:bidi w:val="0"/>
              <w:spacing w:before="0" w:after="283"/>
              <w:jc w:val="left"/>
              <w:rPr>
                <w:sz w:val="4"/>
                <w:szCs w:val="4"/>
              </w:rPr>
            </w:pPr>
            <w:r>
              <w:rPr>
                <w:sz w:val="4"/>
                <w:szCs w:val="4"/>
              </w:rPr>
            </w:r>
          </w:p>
        </w:tc>
        <w:tc>
          <w:tcPr>
            <w:tcW w:w="346" w:type="dxa"/>
            <w:tcBorders/>
            <w:shd w:fill="FFFFFF" w:val="clear"/>
            <w:vAlign w:val="center"/>
          </w:tcPr>
          <w:p>
            <w:pPr>
              <w:pStyle w:val="TableContents"/>
              <w:bidi w:val="0"/>
              <w:spacing w:before="0" w:after="283"/>
              <w:jc w:val="left"/>
              <w:rPr>
                <w:sz w:val="4"/>
                <w:szCs w:val="4"/>
              </w:rPr>
            </w:pPr>
            <w:r>
              <w:rPr>
                <w:sz w:val="4"/>
                <w:szCs w:val="4"/>
              </w:rPr>
            </w:r>
          </w:p>
        </w:tc>
      </w:tr>
      <w:tr>
        <w:trPr/>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 (1)</w:t>
              <w:b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br/>
              <w:t>Rate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Spread Above</w:t>
              <w:br/>
              <w:t>Index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Acquisition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 xml:space="preserve">of Net </w:t>
              <w:br/>
              <w:t>Assets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Contract Datascan Holdings, Inc. (17)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Office Machinery and Equipment Rental and Leasing</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Preferred Equity (3,061</w:t>
            </w:r>
            <w:r>
              <w:rPr>
                <w:rFonts w:ascii="Times New Roman" w:hAnsi="Times New Roman"/>
                <w:color w:val="000000"/>
                <w:sz w:val="20"/>
              </w:rPr>
              <w:t> </w:t>
            </w:r>
            <w:r>
              <w:rPr>
                <w:rFonts w:ascii="Times New Roman" w:hAnsi="Times New Roman"/>
                <w:color w:val="000000"/>
                <w:sz w:val="16"/>
              </w:rPr>
              <w:t xml:space="preserve">Series A shares) </w:t>
              <w:br/>
              <w:t>10%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8/5/2015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Preferred Equity (2750</w:t>
            </w:r>
            <w:r>
              <w:rPr>
                <w:rFonts w:ascii="Times New Roman" w:hAnsi="Times New Roman"/>
                <w:color w:val="000000"/>
                <w:sz w:val="20"/>
              </w:rPr>
              <w:t> </w:t>
            </w:r>
            <w:r>
              <w:rPr>
                <w:rFonts w:ascii="Times New Roman" w:hAnsi="Times New Roman"/>
                <w:color w:val="000000"/>
                <w:sz w:val="16"/>
              </w:rPr>
              <w:t xml:space="preserve">Series C shares), </w:t>
              <w:br/>
              <w:t>14% PIK</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8/21/2025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2,884</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Equity (11,273</w:t>
            </w:r>
            <w:r>
              <w:rPr>
                <w:rFonts w:ascii="Times New Roman" w:hAnsi="Times New Roman"/>
                <w:color w:val="000000"/>
                <w:sz w:val="20"/>
              </w:rPr>
              <w:t> </w:t>
            </w:r>
            <w:r>
              <w:rPr>
                <w:rFonts w:ascii="Times New Roman" w:hAnsi="Times New Roman"/>
                <w:color w:val="000000"/>
                <w:sz w:val="16"/>
              </w:rPr>
              <w:t>shares)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6/28/2016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Warrants (warrants to purchase 224</w:t>
            </w:r>
            <w:r>
              <w:rPr>
                <w:rFonts w:ascii="Times New Roman" w:hAnsi="Times New Roman"/>
                <w:color w:val="000000"/>
                <w:sz w:val="20"/>
              </w:rPr>
              <w:t> </w:t>
            </w:r>
            <w:r>
              <w:rPr>
                <w:rFonts w:ascii="Times New Roman" w:hAnsi="Times New Roman"/>
                <w:color w:val="000000"/>
                <w:sz w:val="16"/>
              </w:rPr>
              <w:t xml:space="preserve">Series A </w:t>
              <w:br/>
              <w:t>preferred equity shares) (10)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8/21/2025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8/20/2035 (12)</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Warrants (warrants to purchase 1,946</w:t>
            </w:r>
            <w:r>
              <w:rPr>
                <w:rFonts w:ascii="Times New Roman" w:hAnsi="Times New Roman"/>
                <w:color w:val="000000"/>
                <w:sz w:val="20"/>
              </w:rPr>
              <w:t> </w:t>
            </w:r>
            <w:r>
              <w:rPr>
                <w:rFonts w:ascii="Times New Roman" w:hAnsi="Times New Roman"/>
                <w:color w:val="000000"/>
                <w:sz w:val="16"/>
              </w:rPr>
              <w:t xml:space="preserve">shares </w:t>
              <w:br/>
              <w:t>of common equity)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8/21/2025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8/20/2035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12,607</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12,085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DRS Imaging Services, LLC (10) (13) (19)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Data Processing, Hosting, and </w:t>
              <w:br/>
              <w:t>Related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Equity (1,135</w:t>
            </w:r>
            <w:r>
              <w:rPr>
                <w:rFonts w:ascii="Times New Roman" w:hAnsi="Times New Roman"/>
                <w:color w:val="000000"/>
                <w:sz w:val="20"/>
              </w:rPr>
              <w:t> </w:t>
            </w:r>
            <w:r>
              <w:rPr>
                <w:rFonts w:ascii="Times New Roman" w:hAnsi="Times New Roman"/>
                <w:color w:val="000000"/>
                <w:sz w:val="16"/>
              </w:rPr>
              <w:t>units)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3/8/2018</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2,671</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Pfanstiehl Holdings, Inc. (19) (20)</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Pharmaceutical Preparation Manufacturing</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Equity (400</w:t>
            </w:r>
            <w:r>
              <w:rPr>
                <w:rFonts w:ascii="Times New Roman" w:hAnsi="Times New Roman"/>
                <w:color w:val="000000"/>
                <w:sz w:val="20"/>
              </w:rPr>
              <w:t> </w:t>
            </w:r>
            <w:r>
              <w:rPr>
                <w:rFonts w:ascii="Times New Roman" w:hAnsi="Times New Roman"/>
                <w:color w:val="000000"/>
                <w:sz w:val="16"/>
              </w:rPr>
              <w:t>Class A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SSJA Bariatric Management LLC (19)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Offices of Physicians, Mental </w:t>
              <w:br/>
              <w:t>Health Specialists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9.24%</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5.25%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10/31/2025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10/31/2028</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 (15)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9.24% PIK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SOFR+</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10/31/2028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Equity (52,763 Class A units) (13) (15)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10/31/2025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9,657</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1,729</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3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Affiliate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99,945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Investments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343,435</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328,400</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342,015</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277.6</w:t>
            </w:r>
          </w:p>
        </w:tc>
        <w:tc>
          <w:tcPr>
            <w:tcW w:w="3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Equivalents (23)</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First American Treasury Obligations Fund Class Z</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 xml:space="preserve">Morgan Stanley Institutional Liquidity Funds - </w:t>
              <w:br/>
              <w:t>Government Portfolio Advisory Class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3.48%</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346" w:type="dxa"/>
            <w:tcBorders/>
            <w:shd w:fill="CAEEFB"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Cash Equivalents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346"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Investments and Cash Equivalents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AEEFB" w:val="clear"/>
            <w:tcMar>
              <w:top w:w="0" w:type="dxa"/>
              <w:left w:w="0" w:type="dxa"/>
              <w:bottom w:w="0" w:type="dxa"/>
              <w:right w:w="0" w:type="dxa"/>
            </w:tcMar>
            <w:vAlign w:val="center"/>
          </w:tcPr>
          <w:p>
            <w:pPr>
              <w:pStyle w:val="TableContents"/>
              <w:bidi w:val="0"/>
              <w:spacing w:before="0" w:after="283"/>
              <w:jc w:val="righ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CAEEFB"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343,744</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328,709</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342,324</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515"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277.9</w:t>
            </w:r>
          </w:p>
        </w:tc>
        <w:tc>
          <w:tcPr>
            <w:tcW w:w="34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b/>
          <w:color w:val="000000"/>
          <w:sz w:val="20"/>
        </w:rPr>
      </w:pPr>
      <w:r>
        <w:rPr>
          <w:rFonts w:ascii="Times New Roman" w:hAnsi="Times New Roman"/>
          <w:b/>
          <w:color w:val="000000"/>
          <w:sz w:val="20"/>
        </w:rPr>
        <w:t>Consolidated Schedule of Investments (continued)</w:t>
      </w:r>
    </w:p>
    <w:p>
      <w:pPr>
        <w:pStyle w:val="TextBody"/>
        <w:bidi w:val="0"/>
        <w:jc w:val="left"/>
        <w:rPr>
          <w:rFonts w:ascii="Times New Roman" w:hAnsi="Times New Roman"/>
          <w:b/>
          <w:color w:val="000000"/>
          <w:sz w:val="20"/>
        </w:rPr>
      </w:pPr>
      <w:r>
        <w:rPr>
          <w:rFonts w:ascii="Times New Roman" w:hAnsi="Times New Roman"/>
          <w:b/>
          <w:color w:val="000000"/>
          <w:sz w:val="20"/>
        </w:rPr>
        <w:t>December 31, 2025</w:t>
      </w:r>
    </w:p>
    <w:p>
      <w:pPr>
        <w:pStyle w:val="TextBody"/>
        <w:bidi w:val="0"/>
        <w:jc w:val="left"/>
        <w:rPr>
          <w:rFonts w:ascii="Times New Roman" w:hAnsi="Times New Roman"/>
          <w:b/>
          <w:color w:val="000000"/>
          <w:sz w:val="20"/>
        </w:rPr>
      </w:pPr>
      <w:r>
        <w:rPr>
          <w:rFonts w:ascii="Times New Roman" w:hAnsi="Times New Roman"/>
          <w:b/>
          <w:color w:val="000000"/>
          <w:sz w:val="20"/>
        </w:rPr>
        <w:t>(Dollar amounts in thousands)</w:t>
      </w:r>
    </w:p>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Equity ownership may be held in shares or units of companies affiliated with the portfolio company. The Company’s investments are generally classified as “restricted securities” as such term is defined under Regulation S-X Rule 6-03(f) or Securities Act Rule 144.</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pPr>
      <w:r>
        <w:rPr>
          <w:rFonts w:ascii="Times New Roman" w:hAnsi="Times New Roman"/>
          <w:color w:val="000000"/>
          <w:sz w:val="16"/>
        </w:rPr>
        <w:t>As of December 31, 2025, the Company held loans and mezzanine debt investments with an aggregate fair value of $168,018</w:t>
      </w:r>
      <w:r>
        <w:rPr>
          <w:color w:val="000000"/>
        </w:rPr>
        <w:t xml:space="preserve"> </w:t>
      </w:r>
      <w:r>
        <w:rPr>
          <w:rFonts w:ascii="Times New Roman" w:hAnsi="Times New Roman"/>
          <w:color w:val="000000"/>
          <w:sz w:val="16"/>
        </w:rPr>
        <w:t>that bore interest at a variable rate indexed to SOFR or Prime, and reset monthly, quarterly, or semi-annually. For each variable-rate investment, the Company has provided the spread over the reference rate and current interest rate in effect as of December 31, 2025. Unless otherwise noted, all investments with a stated PIK rate require interest payments with the issuance of additional securities as payment of the entire PIK provision.</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pPr>
      <w:r>
        <w:rPr>
          <w:rFonts w:ascii="Times New Roman" w:hAnsi="Times New Roman"/>
          <w:color w:val="000000"/>
          <w:sz w:val="16"/>
        </w:rPr>
        <w:t xml:space="preserve">Unless otherwise noted with footnote 14, fair value was determined using significant unobservable inputs for all of the Company’s investments and are considered Level 3 under GAAP. See </w:t>
      </w:r>
      <w:r>
        <w:rPr>
          <w:rFonts w:ascii="Times New Roman" w:hAnsi="Times New Roman"/>
          <w:b/>
          <w:color w:val="000000"/>
          <w:sz w:val="16"/>
        </w:rPr>
        <w:t>Note 5</w:t>
      </w:r>
      <w:r>
        <w:rPr>
          <w:color w:val="000000"/>
        </w:rPr>
        <w:t xml:space="preserve"> </w:t>
      </w:r>
      <w:r>
        <w:rPr>
          <w:rFonts w:ascii="Times New Roman" w:hAnsi="Times New Roman"/>
          <w:color w:val="000000"/>
          <w:sz w:val="16"/>
        </w:rPr>
        <w:t>for further details.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As of December 31, 2025, the effective accretable yield was estimated to be 0%, as the aggregate amount of projected distributions, including projected distributions related to liquidation of the underlying portfolio upon the security's anticipated optional redemption, was less than current amortized cost. Projected distributions are periodically monitored and re-evaluated. All actual distributions were recognized as reductions to amortized cost until such time, if and when occurring, a future aggregate amount of then-projected distributions exceeds the security's then-current amortized cost.</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(5)</w:t>
      </w:r>
    </w:p>
    <w:p>
      <w:pPr>
        <w:pStyle w:val="TextBody"/>
        <w:bidi w:val="0"/>
        <w:spacing w:before="0" w:after="0"/>
        <w:jc w:val="left"/>
        <w:rPr/>
      </w:pPr>
      <w:r>
        <w:rPr>
          <w:rFonts w:ascii="Times New Roman" w:hAnsi="Times New Roman"/>
          <w:color w:val="000000"/>
          <w:sz w:val="16"/>
        </w:rPr>
        <w:t>Subject to unfunded commitments. The Company considers undrawn amounts in the determination of fair value on revolving lines of credit and delayed draw term loans. See</w:t>
      </w:r>
      <w:r>
        <w:rPr>
          <w:color w:val="000000"/>
        </w:rPr>
        <w:t xml:space="preserve"> </w:t>
      </w:r>
      <w:r>
        <w:rPr>
          <w:rFonts w:ascii="Times New Roman" w:hAnsi="Times New Roman"/>
          <w:b/>
          <w:color w:val="000000"/>
          <w:sz w:val="16"/>
        </w:rPr>
        <w:t>Note 6</w:t>
      </w:r>
      <w:r>
        <w:rPr>
          <w:rFonts w:ascii="Times New Roman" w:hAnsi="Times New Roman"/>
          <w:color w:val="000000"/>
          <w:sz w:val="16"/>
        </w:rPr>
        <w:t>.</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(6)</w:t>
      </w:r>
    </w:p>
    <w:p>
      <w:pPr>
        <w:pStyle w:val="TextBody"/>
        <w:bidi w:val="0"/>
        <w:spacing w:before="0" w:after="0"/>
        <w:jc w:val="left"/>
        <w:rPr/>
      </w:pPr>
      <w:r>
        <w:rPr>
          <w:rFonts w:ascii="Times New Roman" w:hAnsi="Times New Roman"/>
          <w:color w:val="000000"/>
          <w:sz w:val="16"/>
        </w:rPr>
        <w:t xml:space="preserve">Investment was on non-accrual status as of December 31, 2025, meaning the Company suspended recognition of all or a portion of income on the investment. See </w:t>
      </w:r>
      <w:r>
        <w:rPr>
          <w:rFonts w:ascii="Times New Roman" w:hAnsi="Times New Roman"/>
          <w:b/>
          <w:color w:val="000000"/>
          <w:sz w:val="16"/>
        </w:rPr>
        <w:t>Note 4</w:t>
      </w:r>
      <w:r>
        <w:rPr>
          <w:color w:val="000000"/>
        </w:rPr>
        <w:t xml:space="preserve"> </w:t>
      </w:r>
      <w:r>
        <w:rPr>
          <w:rFonts w:ascii="Times New Roman" w:hAnsi="Times New Roman"/>
          <w:color w:val="000000"/>
          <w:sz w:val="16"/>
        </w:rPr>
        <w:t>for further details.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(7)</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Equity participation rights issued by unaffiliated third party fully covered with underlying positions in the portfolio company.</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(8)</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Non-qualifying assets under Section 55(a) of the 1940 Act. Qualifying assets as defined in Section 55 of the 1940 Act must represent at least 70% of the Company's assets immediately following the acquisition of any additional non-qualifying assets. As of December 31, 2025, approximately 81% of the Company's assets were qualifying assets.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(9)</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The rate disclosed on subordinated note investments is the estimated effective yield, generally established at purchase, and reevaluated upon the receipt of the initial distribution and each subsequent quarter thereafter. The estimated effective yield is based upon projected amounts and timing of future distributions and the projected amounts and timing of terminal principal payments at the time of estimation. The estimated effective yield and investment cost may ultimately not be realized. Projected cash flows, including the amounts and timing of terminal principal payments, which generally are projected to occur prior to the contractual maturity date, were utilized in deriving the effective yield of the investments.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(10)</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Non-income producing.</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The interest rate on these investments contains a PIK provision, whereby the issuer has the option to make interest payments in cash or with the issuance of additional securities as payment of the entire PIK provision. The interest rate in the schedule represents the current interest rate in effect for these investments. The following table provides additional details on these PIK investments, including the maximum annual PIK interest rate allowed as of December 31, 2025:</w:t>
      </w:r>
    </w:p>
    <w:tbl>
      <w:tblPr>
        <w:tblW w:w="9004" w:type="dxa"/>
        <w:jc w:val="left"/>
        <w:tblInd w:w="0" w:type="dxa"/>
        <w:tblLayout w:type="fixed"/>
        <w:tblCellMar>
          <w:top w:w="28" w:type="dxa"/>
          <w:left w:w="28" w:type="dxa"/>
          <w:bottom w:w="28" w:type="dxa"/>
          <w:right w:w="28" w:type="dxa"/>
        </w:tblCellMar>
      </w:tblPr>
      <w:tblGrid>
        <w:gridCol w:w="3361"/>
        <w:gridCol w:w="146"/>
        <w:gridCol w:w="1306"/>
        <w:gridCol w:w="146"/>
        <w:gridCol w:w="1186"/>
        <w:gridCol w:w="146"/>
        <w:gridCol w:w="1111"/>
        <w:gridCol w:w="146"/>
        <w:gridCol w:w="145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PIK</w:t>
              <w:br/>
              <w:t>Rate Allowed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of PIK</w:t>
              <w:br/>
              <w:t>Option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 of Cash</w:t>
              <w:br/>
              <w:t>Option</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Avison Young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8.50</w:t>
            </w:r>
            <w:r>
              <w:rPr>
                <w:rFonts w:ascii="Times New Roman" w:hAnsi="Times New Roman"/>
                <w:color w:val="000000"/>
                <w:sz w:val="2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 to 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3.70% to 12.20%</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Avison Young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5.85</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 to 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5.20% to 11.05%</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Avison Young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6.50</w:t>
            </w:r>
            <w:r>
              <w:rPr>
                <w:rFonts w:ascii="Times New Roman" w:hAnsi="Times New Roman"/>
                <w:color w:val="000000"/>
                <w:sz w:val="2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 to 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5.49% to 11.99%</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Avison Young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6.50</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 to 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5.60% to 12.10%</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JP Intermediate B,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4.00</w:t>
            </w:r>
            <w:r>
              <w:rPr>
                <w:rFonts w:ascii="Times New Roman" w:hAnsi="Times New Roman"/>
                <w:color w:val="000000"/>
                <w:sz w:val="2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 to 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5.17% to 9.17%</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Kreg,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0.50</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 to 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10.07% to 10.57%</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RideNow Group, Inc. (F/K/A RumbleOn,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1.00</w:t>
            </w:r>
            <w:r>
              <w:rPr>
                <w:rFonts w:ascii="Times New Roman" w:hAnsi="Times New Roman"/>
                <w:color w:val="000000"/>
                <w:sz w:val="2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 to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10.85% to 11.85%</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RideNow Group, Inc. (F/K/A RumbleOn,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1.00</w:t>
            </w:r>
            <w:r>
              <w:rPr>
                <w:rFonts w:ascii="Times New Roman" w:hAnsi="Times New Roman"/>
                <w:color w:val="000000"/>
                <w:sz w:val="20"/>
              </w:rPr>
              <w:t> </w:t>
            </w: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 to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10.85% to 11.85%</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Wellful Inc. (F/K/A KNS Acquisition Corp.)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6"/>
              </w:rPr>
              <w:t>1.75</w:t>
            </w:r>
            <w:r>
              <w:rPr>
                <w:rFonts w:ascii="Times New Roman" w:hAnsi="Times New Roman"/>
                <w:color w:val="000000"/>
                <w:sz w:val="20"/>
              </w:rPr>
              <w:t> </w:t>
            </w: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 to 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8.33% to 10.08%</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Represents expiration date of the warrants.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All or a portion of investment held by a wholly owned subsidiary subject to income tax.</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(14)</w:t>
      </w:r>
    </w:p>
    <w:p>
      <w:pPr>
        <w:pStyle w:val="TextBody"/>
        <w:bidi w:val="0"/>
        <w:spacing w:before="0" w:after="0"/>
        <w:jc w:val="left"/>
        <w:rPr/>
      </w:pPr>
      <w:r>
        <w:rPr>
          <w:rFonts w:ascii="Times New Roman" w:hAnsi="Times New Roman"/>
          <w:color w:val="000000"/>
          <w:sz w:val="16"/>
        </w:rPr>
        <w:t xml:space="preserve">Fair value was determined by reference to observable inputs other than quoted prices in active markets and are considered Level 2 under GAAP. See </w:t>
      </w:r>
      <w:r>
        <w:rPr>
          <w:rFonts w:ascii="Times New Roman" w:hAnsi="Times New Roman"/>
          <w:b/>
          <w:color w:val="000000"/>
          <w:sz w:val="16"/>
        </w:rPr>
        <w:t>Note 5</w:t>
      </w:r>
      <w:r>
        <w:rPr>
          <w:color w:val="000000"/>
        </w:rPr>
        <w:t xml:space="preserve"> </w:t>
      </w:r>
      <w:r>
        <w:rPr>
          <w:rFonts w:ascii="Times New Roman" w:hAnsi="Times New Roman"/>
          <w:color w:val="000000"/>
          <w:sz w:val="16"/>
        </w:rPr>
        <w:t>for further details.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(15)</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Investments (or a portion thereof) held by OFSCC-FS. These assets are pledged as collateral of the BNP Facility and cannot be pledged under any other debt obligation of the Company.</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(16)</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Amortized cost reflects accretion of effective yield less any cash distributions received or entitled to be received from CLO subordinated note investments. CLO subordinated note positions are entitled to recurring distributions, which are generally equal to the residual cash flow of payments received on underlying securities less contractual payments to debt holders and fund expenses.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(17)</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The Company holds at least one seat on the portfolio company’s board of directors.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(18)</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Not meaningful as there is no outstanding balance on the revolver or delayed draw loan. The Company earns unfunded commitment fees on undrawn revolving lines of credit balances, which are reported in fee income.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(19)</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The Company has an observer seat on the portfolio company’s board of directors.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(20)</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Portfolio company at fair value represents greater than 5% of total assets at December 31, 2025.</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(21)</w:t>
      </w:r>
    </w:p>
    <w:p>
      <w:pPr>
        <w:pStyle w:val="TextBody"/>
        <w:bidi w:val="0"/>
        <w:jc w:val="left"/>
        <w:rPr>
          <w:rFonts w:ascii="Times New Roman" w:hAnsi="Times New Roman"/>
          <w:color w:val="000000"/>
          <w:sz w:val="16"/>
        </w:rPr>
      </w:pPr>
      <w:r>
        <w:rPr>
          <w:rFonts w:ascii="Times New Roman" w:hAnsi="Times New Roman"/>
          <w:color w:val="000000"/>
          <w:sz w:val="16"/>
        </w:rPr>
        <w:t>The Company has the right to receive certain information provided to the board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b/>
          <w:color w:val="000000"/>
          <w:sz w:val="20"/>
        </w:rPr>
      </w:pPr>
      <w:r>
        <w:rPr>
          <w:rFonts w:ascii="Times New Roman" w:hAnsi="Times New Roman"/>
          <w:b/>
          <w:color w:val="000000"/>
          <w:sz w:val="20"/>
        </w:rPr>
        <w:t>Consolidated Schedule of Investments (continued)</w:t>
      </w:r>
    </w:p>
    <w:p>
      <w:pPr>
        <w:pStyle w:val="TextBody"/>
        <w:bidi w:val="0"/>
        <w:jc w:val="left"/>
        <w:rPr>
          <w:rFonts w:ascii="Times New Roman" w:hAnsi="Times New Roman"/>
          <w:b/>
          <w:color w:val="000000"/>
          <w:sz w:val="20"/>
        </w:rPr>
      </w:pPr>
      <w:r>
        <w:rPr>
          <w:rFonts w:ascii="Times New Roman" w:hAnsi="Times New Roman"/>
          <w:b/>
          <w:color w:val="000000"/>
          <w:sz w:val="20"/>
        </w:rPr>
        <w:t>December 31, 2025</w:t>
      </w:r>
    </w:p>
    <w:p>
      <w:pPr>
        <w:pStyle w:val="TextBody"/>
        <w:bidi w:val="0"/>
        <w:jc w:val="left"/>
        <w:rPr>
          <w:rFonts w:ascii="Times New Roman" w:hAnsi="Times New Roman"/>
          <w:b/>
          <w:color w:val="000000"/>
          <w:sz w:val="20"/>
        </w:rPr>
      </w:pPr>
      <w:r>
        <w:rPr>
          <w:rFonts w:ascii="Times New Roman" w:hAnsi="Times New Roman"/>
          <w:b/>
          <w:color w:val="000000"/>
          <w:sz w:val="20"/>
        </w:rPr>
        <w:t>(Dollar amounts in thousands)</w:t>
      </w:r>
    </w:p>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These investments became contractually due on December 22, 2025. The lending group has entered into a forbearance agreement extending the maturity date of the investments to August 31, 2026.</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(23)</w:t>
      </w:r>
    </w:p>
    <w:p>
      <w:pPr>
        <w:pStyle w:val="TextBody"/>
        <w:bidi w:val="0"/>
        <w:jc w:val="left"/>
        <w:rPr/>
      </w:pPr>
      <w:r>
        <w:rPr>
          <w:rFonts w:ascii="Times New Roman" w:hAnsi="Times New Roman"/>
          <w:color w:val="000000"/>
          <w:sz w:val="16"/>
        </w:rPr>
        <w:t>Represents cash equivalents held in a money market fund as of December 31, 2025. The Company also had cash deposits of $3,050</w:t>
      </w:r>
      <w:r>
        <w:rPr>
          <w:color w:val="000000"/>
        </w:rPr>
        <w:t xml:space="preserve"> </w:t>
      </w:r>
      <w:r>
        <w:rPr>
          <w:rFonts w:ascii="Times New Roman" w:hAnsi="Times New Roman"/>
          <w:color w:val="000000"/>
          <w:sz w:val="16"/>
        </w:rPr>
        <w:t>as of December 31,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See Notes to Consolidated Financial Statements (unaudited).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color w:val="000000"/>
          <w:sz w:val="20"/>
        </w:rPr>
      </w:pPr>
      <w:bookmarkStart w:id="8" w:name="notes_to_consolidated_financial"/>
      <w:bookmarkEnd w:id="8"/>
      <w:r>
        <w:rPr>
          <w:rFonts w:ascii="Times New Roman" w:hAnsi="Times New Roman"/>
          <w:color w:val="000000"/>
          <w:sz w:val="20"/>
        </w:rPr>
        <w:t>Notes to Consolidated Financial Statements (unaudited)</w:t>
      </w:r>
    </w:p>
    <w:p>
      <w:pPr>
        <w:pStyle w:val="TextBody"/>
        <w:bidi w:val="0"/>
        <w:jc w:val="left"/>
        <w:rPr>
          <w:rFonts w:ascii="Times New Roman" w:hAnsi="Times New Roman"/>
          <w:color w:val="000000"/>
          <w:sz w:val="20"/>
        </w:rPr>
      </w:pPr>
      <w:r>
        <w:rPr>
          <w:rFonts w:ascii="Times New Roman" w:hAnsi="Times New Roman"/>
          <w:color w:val="000000"/>
          <w:sz w:val="20"/>
        </w:rPr>
        <w:t>(Dollar amounts in thousands, except per share data)</w:t>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Note 1. Organization</w:t>
      </w:r>
    </w:p>
    <w:p>
      <w:pPr>
        <w:pStyle w:val="TextBody"/>
        <w:bidi w:val="0"/>
        <w:jc w:val="left"/>
        <w:rPr>
          <w:rFonts w:ascii="Times New Roman" w:hAnsi="Times New Roman"/>
          <w:color w:val="000000"/>
          <w:sz w:val="20"/>
        </w:rPr>
      </w:pPr>
      <w:r>
        <w:rPr>
          <w:rFonts w:ascii="Times New Roman" w:hAnsi="Times New Roman"/>
          <w:color w:val="000000"/>
          <w:sz w:val="20"/>
        </w:rPr>
        <w:t>OFS Capital Corporation, a Delaware corporation, is an externally managed, closed-end, non-diversified management investment company. The Company has elected to be regulated as a BDC under the 1940 Act. In addition, for income tax purposes, the Company has elected to be treated, and intends to qualify annually, as a RIC under Subchapter M of the Code.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investment objective is to provide stockholders with both current income and capital appreciation primarily through debt investments and, to a lesser extent, equity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OFS Advisor manages the day-to-day operations of, and provides investment advisory services to, the Company. In addition, OFS Advisor serves as the investment adviser to HPCI, a non-traded BDC with an investment strategy and objective similar to that of the Company. OFS Advisor also serves as the investment adviser to OCCI, a non-diversified, externally managed, closed-end management investment company that is registered as an investment company under the 1940 Act and that primarily invests in Structured Finance Securities. Additionally, OFS Advisor serves as the investment adviser to separately-managed accounts and sub-advisor to investment companies managed by an affiliate.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make investments directly or through one or more of its subsidiaries: OFSCC-FS, SBIC I LP or OFSCC-MB.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OFSCC-FS, an indirect wholly owned and consolidated subsidiary of the Company, is a special-purpose vehicle formed in April 2019 for the purpose of acquiring senior secured loan investments. OFSCC-FS has debt financing through its Natixis Facility, which provides OFSCC-FS with borrowing capacity of up to $80,000 during its reinvestment period, subject to a borrowing base and other covenants.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SBIC I LP is an investment company subsidiary previously licensed under the SBA’s small business investment company program that was subject to SBA regulations and policies. On March 1, 2024, SBIC I LP fully repaid its outstanding SBA debentures and, on April 17, 2024, surrendered its license to operate as a SBIC.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OFSCC-MB is a wholly owned and consolidated subsidiary taxed under subchapter C of the Code that generally holds the Company’s equity investments in portfolio companies that are taxed as pass-through entities.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120" w:after="283"/>
        <w:jc w:val="left"/>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 The Company is an investment company as defined in the accounting and reporting guidance under ASC Topic 946, </w:t>
      </w:r>
      <w:r>
        <w:rPr>
          <w:rFonts w:ascii="Times New Roman" w:hAnsi="Times New Roman"/>
          <w:i/>
          <w:color w:val="000000"/>
          <w:sz w:val="20"/>
        </w:rPr>
        <w:t>Financial Services–Investment Companies</w:t>
      </w:r>
      <w:r>
        <w:rPr>
          <w:rFonts w:ascii="Times New Roman" w:hAnsi="Times New Roman"/>
          <w:color w:val="000000"/>
          <w:sz w:val="20"/>
        </w:rPr>
        <w:t>. The accompanying interim consolidated financial statements of the Company and related financial information have been prepared in accordance with GAAP for interim financial information and pursuant to the requirements for reporting on Form 10-Q, and Articles 6, 10 and 12 of Regulation S-X. Accordingly, they do not include all of the information and notes required by GAAP for annual financial statements. However, in the opinion of management, the consolidated financial statements include all adjustments, consisting only of normal and recurring accruals and adjustments, necessary for fair presentation as of, and for, the periods presented. These consolidated financial statements and notes hereto should be read in conjunction with the consolidated financial statements and notes thereto included in the Company's Annual Report on Form 10-K for the year ended December 31, 2025, filed on March 3, 2026. The results of operations for any interim period are not necessarily indicative of the results of operations to be expected for the full year.</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Significant Accounting Policies: </w:t>
      </w:r>
      <w:r>
        <w:rPr>
          <w:rFonts w:ascii="Times New Roman" w:hAnsi="Times New Roman"/>
          <w:color w:val="000000"/>
          <w:sz w:val="20"/>
        </w:rPr>
        <w:t>The following information supplements the description of significant accounting policies contained in Note 2 to the Company’s consolidated financial statements included in the Company’s Annual Report on Form 10-K for the year ended December 31, 2025.</w:t>
      </w:r>
    </w:p>
    <w:p>
      <w:pPr>
        <w:pStyle w:val="TextBody"/>
        <w:bidi w:val="0"/>
        <w:spacing w:before="120" w:after="283"/>
        <w:jc w:val="left"/>
        <w:rPr>
          <w:rFonts w:ascii="Times New Roman" w:hAnsi="Times New Roman"/>
          <w:sz w:val="20"/>
        </w:rPr>
      </w:pPr>
      <w:r>
        <w:rPr>
          <w:rFonts w:ascii="Times New Roman" w:hAnsi="Times New Roman"/>
          <w:b/>
          <w:color w:val="000000"/>
          <w:sz w:val="20"/>
        </w:rPr>
        <w:t>Reclassifications:</w:t>
      </w:r>
      <w:r>
        <w:rPr>
          <w:rFonts w:ascii="Times New Roman" w:hAnsi="Times New Roman"/>
          <w:color w:val="000000"/>
          <w:sz w:val="20"/>
        </w:rPr>
        <w:t xml:space="preserve"> Certain prior period amounts have been reclassified to conform to the current period presentation in the consolidated financial statements and the accompanying notes thereto. Reclassifications did not impact net increase (decrease) in net assets resulting from operations, total assets, total liabilities or total net assets, or consolidated statements of changes in net assets and consolidated statements of cash flows classifications.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Use of estimates: </w:t>
      </w:r>
      <w:r>
        <w:rPr>
          <w:rFonts w:ascii="Times New Roman" w:hAnsi="Times New Roman"/>
          <w:color w:val="000000"/>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significantly from those estimates.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color w:val="000000"/>
          <w:sz w:val="20"/>
        </w:rPr>
      </w:pPr>
      <w:r>
        <w:rPr>
          <w:rFonts w:ascii="Times New Roman" w:hAnsi="Times New Roman"/>
          <w:color w:val="000000"/>
          <w:sz w:val="20"/>
        </w:rPr>
        <w:t>Notes to Consolidated Financial Statements (unaudited)</w:t>
      </w:r>
    </w:p>
    <w:p>
      <w:pPr>
        <w:pStyle w:val="TextBody"/>
        <w:bidi w:val="0"/>
        <w:jc w:val="left"/>
        <w:rPr>
          <w:rFonts w:ascii="Times New Roman" w:hAnsi="Times New Roman"/>
          <w:color w:val="000000"/>
          <w:sz w:val="20"/>
        </w:rPr>
      </w:pPr>
      <w:r>
        <w:rPr>
          <w:rFonts w:ascii="Times New Roman" w:hAnsi="Times New Roman"/>
          <w:color w:val="000000"/>
          <w:sz w:val="20"/>
        </w:rPr>
        <w:t>(Dollar amounts in thousands, except per share data)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Concentration of credit risk:</w:t>
      </w:r>
      <w:r>
        <w:rPr>
          <w:rFonts w:ascii="Times New Roman" w:hAnsi="Times New Roman"/>
          <w:color w:val="000000"/>
          <w:sz w:val="20"/>
        </w:rPr>
        <w:t xml:space="preserve"> Aside from the Company’s investments, financial instruments that potentially subject the Company to concentrations of credit risk consist principally of cash deposits at financial institutions. At various times during the year, the Company exceeds the federally insured limits. The Company places cash deposits only with high credit quality institutions which OFS Advisor believes will mitigate the risk of loss due to credit risk. If borrowers completely fail to perform according to the terms of the contracts, the amount of loss due to credit risk from the Company’s investments is equal to the sum of the Company’s recorded investments and, if applicable, the unfunded commitments disclosed in </w:t>
      </w:r>
      <w:r>
        <w:rPr>
          <w:rFonts w:ascii="Times New Roman" w:hAnsi="Times New Roman"/>
          <w:b/>
          <w:color w:val="000000"/>
          <w:sz w:val="20"/>
        </w:rPr>
        <w:t>Note 6</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b/>
          <w:color w:val="000000"/>
          <w:sz w:val="20"/>
        </w:rPr>
        <w:t>Cash and cash equivalents:</w:t>
      </w:r>
      <w:r>
        <w:rPr>
          <w:rFonts w:ascii="Times New Roman" w:hAnsi="Times New Roman"/>
          <w:color w:val="000000"/>
          <w:sz w:val="20"/>
        </w:rPr>
        <w:t xml:space="preserve"> Cash represents cash deposits held at U.S. Bank Trust Company, National Association and Citibank N.A., and cash equivalents consist of highly liquid money market funds. Cash equivalents are classified as Level 1 assets and are carried at amortized cost which approximates fair value. The Company’s cash and cash equivalents are maintained with member banks of the FDIC, and, such balances generally exceed the FDIC insurance limits. The Company does not believe its cash and cash equivalent balances are exposed to any significant credit risk. In addition, the Company’s use of cash and cash equivalents held by OFSCC-FS is limited by the terms and conditions of the Natixis Facility, including but not limited to, the payment of interest expense and principal on the outstanding borrowings.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had the following cash and cash equivalents as of June 30, 2026 and December 31, 2025: </w:t>
      </w:r>
    </w:p>
    <w:p>
      <w:pPr>
        <w:pStyle w:val="TextBody"/>
        <w:bidi w:val="0"/>
        <w:spacing w:before="120" w:after="283"/>
        <w:jc w:val="left"/>
        <w:rPr/>
      </w:pPr>
      <w:r>
        <w:rPr/>
        <w:t> </w:t>
      </w:r>
    </w:p>
    <w:tbl>
      <w:tblPr>
        <w:tblW w:w="6330" w:type="dxa"/>
        <w:jc w:val="left"/>
        <w:tblInd w:w="0" w:type="dxa"/>
        <w:tblLayout w:type="fixed"/>
        <w:tblCellMar>
          <w:top w:w="28" w:type="dxa"/>
          <w:left w:w="28" w:type="dxa"/>
          <w:bottom w:w="28" w:type="dxa"/>
          <w:right w:w="28" w:type="dxa"/>
        </w:tblCellMar>
      </w:tblPr>
      <w:tblGrid>
        <w:gridCol w:w="2701"/>
        <w:gridCol w:w="146"/>
        <w:gridCol w:w="344"/>
        <w:gridCol w:w="931"/>
        <w:gridCol w:w="146"/>
        <w:gridCol w:w="146"/>
        <w:gridCol w:w="465"/>
        <w:gridCol w:w="1260"/>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1E5F5"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1E5F5"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1E5F5"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right"/>
              <w:rPr/>
            </w:pPr>
            <w:r>
              <w:rPr/>
              <w:t> </w:t>
            </w:r>
          </w:p>
        </w:tc>
        <w:tc>
          <w:tcPr>
            <w:tcW w:w="465" w:type="dxa"/>
            <w:tcBorders/>
            <w:shd w:fill="C1E5F5"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1E5F5"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3,050</w:t>
            </w:r>
          </w:p>
        </w:tc>
        <w:tc>
          <w:tcPr>
            <w:tcW w:w="191"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1E5F5"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1E5F5"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1E5F5"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w:t>
            </w:r>
          </w:p>
        </w:tc>
        <w:tc>
          <w:tcPr>
            <w:tcW w:w="146" w:type="dxa"/>
            <w:tcBorders>
              <w:bottom w:val="double" w:sz="6" w:space="0" w:color="000000"/>
            </w:tcBorders>
            <w:shd w:fill="C1E5F5"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C1E5F5"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1E5F5"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w:t>
            </w:r>
          </w:p>
        </w:tc>
        <w:tc>
          <w:tcPr>
            <w:tcW w:w="191" w:type="dxa"/>
            <w:tcBorders>
              <w:bottom w:val="double" w:sz="6" w:space="0" w:color="000000"/>
            </w:tcBorders>
            <w:shd w:fill="C1E5F5"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3. Related Party Transactions</w:t>
      </w:r>
    </w:p>
    <w:p>
      <w:pPr>
        <w:pStyle w:val="TextBody"/>
        <w:bidi w:val="0"/>
        <w:spacing w:before="120" w:after="283"/>
        <w:jc w:val="left"/>
        <w:rPr>
          <w:rFonts w:ascii="Times New Roman" w:hAnsi="Times New Roman"/>
          <w:sz w:val="20"/>
        </w:rPr>
      </w:pPr>
      <w:r>
        <w:rPr>
          <w:rFonts w:ascii="Times New Roman" w:hAnsi="Times New Roman"/>
          <w:b/>
          <w:color w:val="000000"/>
          <w:sz w:val="20"/>
        </w:rPr>
        <w:t>Investment Advisory and Management Agreement:</w:t>
      </w:r>
      <w:r>
        <w:rPr>
          <w:rFonts w:ascii="Times New Roman" w:hAnsi="Times New Roman"/>
          <w:color w:val="000000"/>
          <w:sz w:val="20"/>
        </w:rPr>
        <w:t xml:space="preserve"> OFS Advisor manages the day-to-day operations of, and provides investment advisory services to, the Company pursuant to the Investment Advisory Agreement. The continuation of the Investment Advisory Agreement was most recently approved by the Board on April 2, 2026. Under the terms of the Investment Advisory Agreement, which are in accordance with the 1940 Act and subject to the overall supervision of the Board, OFS Advisor is responsible for sourcing potential investments, conducting research and diligence on potential investments and equity sponsors, analyzing investment opportunities, structuring investments, and monitoring investments and portfolio companies on an ongoing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OFS Advisor’s services under the Investment Advisory Agreement are not exclusive to the Company and OFS Advisor is free to furnish similar services to other entities, including other funds affiliated with OFS Advisor, so long as its services to the Company are not impaired. OFS Advisor also serves as the investment adviser or sub-adviser to various clients, including HPCI and OCCI.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OFS Advisor receives fees for providing services to the Company, consisting of two components: a base management fee and an incentive fee. The base management fee is calculated at an annual rate of 1.75% and based on the average value of the Company’s total assets (other than cash and cash equivalents, but including assets purchased with borrowed amounts and assets owned by any consolidated entity) at the end of the two most recently completed calendar quarters, adjusted for any share issuances or repurchases during the quarter.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17, 2026 and June 23, 2026, OFS Advisor agreed to waive a portion of its base management fee for the quarters ended March 31, 2026 and June 30, 2026, respectively, attributable to all of the OFSCC-FS Assets to 0.25% per quarter (1.00% annualized) of the average value of the OFSCC-FS Assets (other than cash and cash equivalents, but including assets purchased with borrowed amounts) at the end of the two most recently completed calendar quarters. Prior to January 1, 2026, OFS Advisor had contractually agreed to reduce its base management fee for the entire year at the beginning of the year. As of June 30, 2026, there is no active ongoing fee waiver or reduction agreement in place with OFS Advisor for the remainder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2025, OFS Advisor agreed to reduce its base management fee attributable to all of the OFSCC-FS Assets to 0.25% per quarter (1.00% annualized) of the average value of the OFSCC-FS Assets (other than cash and cash equivalents, but including assets purchased with borrowed amounts) at the end of the two most recently completed calendar quarters.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OFS Advisor is not entitled to recoup the amount of the base management fee waived or reduced with respect to the OFSCC-FS Assets. The fee waivers and reductions were provided at OFS Advisor’s discretion; there can be no assurance that similar fee waivers or reductions will be provided in future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incentive fee has two parts. The first part of the incentive fee (the “Income Incentive Fee”) is calculated and payable quarterly in arrears based on the Company’s pre-incentive fee net investment income for the immediately preceding calendar quarter. For this purpose, pre-incentive fee net investment income means interest income, dividend income and any other income (including any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color w:val="000000"/>
          <w:sz w:val="20"/>
        </w:rPr>
      </w:pPr>
      <w:r>
        <w:rPr>
          <w:rFonts w:ascii="Times New Roman" w:hAnsi="Times New Roman"/>
          <w:color w:val="000000"/>
          <w:sz w:val="20"/>
        </w:rPr>
        <w:t>Notes to Consolidated Financial Statements (unaudited)</w:t>
      </w:r>
    </w:p>
    <w:p>
      <w:pPr>
        <w:pStyle w:val="TextBody"/>
        <w:bidi w:val="0"/>
        <w:jc w:val="left"/>
        <w:rPr>
          <w:rFonts w:ascii="Times New Roman" w:hAnsi="Times New Roman"/>
          <w:color w:val="000000"/>
          <w:sz w:val="20"/>
        </w:rPr>
      </w:pPr>
      <w:r>
        <w:rPr>
          <w:rFonts w:ascii="Times New Roman" w:hAnsi="Times New Roman"/>
          <w:color w:val="000000"/>
          <w:sz w:val="20"/>
        </w:rPr>
        <w:t>(Dollar amounts in thousands, except per share data)</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fees such as commitment, syndication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and any interest expense and dividends paid on any outstanding preferred stock, but excluding the incentive fee). Pre-incentive fee net investment income includes, in the case of investments with a deferred interest or dividend feature (such as OID, debt instruments with PIK interest, equity investments with accruing or PIK dividend and zero coupon securities), accrued income that the Company has not yet received in cash.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Pre-incentive fee net investment income is expressed as a rate of return on the value of the Company’s net assets (defined as total assets less indebtedness and before taking into account any incentive fees payable during the period) at the end of the immediately preceding calendar quarter and adjusted for any share issuances or repurchases during such quarter.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incentive fee with respect to pre-incentive fee net income is 20.0% of the amount, if any, by which the pre-incentive fee net investment income for the immediately preceding calendar quarter exceeds a 2.0% hurdle rate (which is 8.0% annualized) and a “catch-up” provision measured as of the end of each calendar quarter. Under this provision, in any calendar quarter, OFS Advisor receives no incentive fee until the net investment income equals the hurdle rate of 2.0%, but then receives, as a “catch-up,” 100.0% of the pre-incentive fee net investment income with respect to that portion of such pre-incentive fee net investment income, if any, that exceeds the hurdle rate but is less than 2.5%. The effect of this provision is that, if pre-incentive fee net investment income exceeds 2.5% in any calendar quarter, OFS Advisor will receive 20.0% of the pre-incentive fee net investment income.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Pre-incentive fee net investment income does not include any realized capital gains, realized capital losses or unrealized capital appreciation or depreciation. Because of the structure of the incentive fee, it is possible that the Company may pay an incentive fee in a quarter in which the Company incurs a loss. For example, if the Company receives pre-incentive fee net investment income in excess of the quarterly minimum hurdle rate, the Company will pay the applicable incentive fee even if the Company has incurred a loss in that quarter due to realized and unrealized capital losses. The Company’s net investment income used to calculate this part of the incentive fee is also included in the amount of the Company’s gross assets used to calculate the base management fee. These calculations are appropriately prorated for any period of less than three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second part of the incentive fee (the “Capital Gains Fee”) is determined and payable in arrears as of the end of each calendar year (or upon termination of the Investment Advisory Agreement, as of the termination date), and equals 20.0% of the Company’s aggregate realized capital gains, if any, on a cumulative basis from the date of the election to be a BDC through the end of each calendar year, computed net of all realized capital losses, losses on extinguishment of debt, income taxes from realized capital gains and unrealized capital depreciation through the end of such year, less all previous amounts paid in respect of the Capital Gains Fee. Since inception through June 30, 2026, the Company has not made a Capital Gains Fee payment.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accrues the Capital Gains Fee if, on a cumulative basis, the sum of net realized capital gains (losses) plus net unrealized appreciation (depreciation) is positive. An accrued Capital Gains Fee relating to net unrealized appreciation is deferred, and not due to OFS Advisor, until the close of the year in which such gains are realized. If, on a cumulative basis, the sum of net realized capital gains (losses) plus net unrealized appreciation (depreciation) decreases during a period, the Company will reverse any excess Capital Gains Fee previously accrued such that the amount of Capital Gains Fee accrued is no more than 20% of the sum of net realized capital gains (losses) plus net unrealized appreciation (depreciation). As of June 30, 2026 and December 31, 2025, there were no accrued Capital Gains Fees.</w:t>
      </w:r>
    </w:p>
    <w:p>
      <w:pPr>
        <w:pStyle w:val="TextBody"/>
        <w:bidi w:val="0"/>
        <w:spacing w:before="120" w:after="283"/>
        <w:jc w:val="left"/>
        <w:rPr>
          <w:rFonts w:ascii="Times New Roman" w:hAnsi="Times New Roman"/>
          <w:sz w:val="20"/>
        </w:rPr>
      </w:pPr>
      <w:r>
        <w:rPr>
          <w:rFonts w:ascii="Times New Roman" w:hAnsi="Times New Roman"/>
          <w:b/>
          <w:color w:val="000000"/>
          <w:sz w:val="20"/>
        </w:rPr>
        <w:t>License Agreement:</w:t>
      </w:r>
      <w:r>
        <w:rPr>
          <w:rFonts w:ascii="Times New Roman" w:hAnsi="Times New Roman"/>
          <w:color w:val="000000"/>
          <w:sz w:val="20"/>
        </w:rPr>
        <w:t xml:space="preserve"> The Company entered into a license agreement with OFSAM under which OFSAM has granted the Company a non-exclusive, royalty-free license to use the name “OFS.”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Administration Agreement: </w:t>
      </w:r>
      <w:r>
        <w:rPr>
          <w:rFonts w:ascii="Times New Roman" w:hAnsi="Times New Roman"/>
          <w:color w:val="000000"/>
          <w:sz w:val="20"/>
        </w:rPr>
        <w:t xml:space="preserve">OFS Services furnishes the Company with office facilities and equipment, necessary software licenses and subscriptions, and clerical, bookkeeping and record keeping services at such facilities pursuant to the Administration Agreement. The continuation of the Administration Agreement was most recently approved by the Board on April 2, 2026. Under the Administration Agreement, OFS Services performs, or oversees the performance of, the Company’s required administrative services, which include being responsible for the financial records that the Company is required to maintain and preparing reports to its stockholders and all other reports and materials required to be filed with the SEC or any other regulatory authority. In addition, OFS Services assists the Company in determining and publishing its net asset value, oversees the preparation and filing of its tax returns and the printing and dissemination of reports to its stockholders, and generally oversees the payment of the Company’s expenses and the performance of administrative and professional services rendered to the Company by others. Under the Administration Agreement, OFS Services also provides managerial assistance on the Company’s behalf to those portfolio companies that have accepted the Company’s offer to provide such assistance. Payment under the Administration Agreement is equal to an amount based upon the Company’s allocable portion of OFS Services’s overhead in performing its obligations under the Administration Agreement, including, but not limited to, rent, information technology services and the Company’s allocable portion of the cost of its officers,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color w:val="000000"/>
          <w:sz w:val="20"/>
        </w:rPr>
      </w:pPr>
      <w:r>
        <w:rPr>
          <w:rFonts w:ascii="Times New Roman" w:hAnsi="Times New Roman"/>
          <w:color w:val="000000"/>
          <w:sz w:val="20"/>
        </w:rPr>
        <w:t>Notes to Consolidated Financial Statements (unaudited)</w:t>
      </w:r>
    </w:p>
    <w:p>
      <w:pPr>
        <w:pStyle w:val="TextBody"/>
        <w:bidi w:val="0"/>
        <w:jc w:val="left"/>
        <w:rPr>
          <w:rFonts w:ascii="Times New Roman" w:hAnsi="Times New Roman"/>
          <w:color w:val="000000"/>
          <w:sz w:val="20"/>
        </w:rPr>
      </w:pPr>
      <w:r>
        <w:rPr>
          <w:rFonts w:ascii="Times New Roman" w:hAnsi="Times New Roman"/>
          <w:color w:val="000000"/>
          <w:sz w:val="20"/>
        </w:rPr>
        <w:t>(Dollar amounts in thousands, except per share data)</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including its chief executive officer, chief financial officer, chief compliance officer and their respective staffs. To the extent that OFS Services outsources any of its functions, the Company will pay the fees associated with such functions on a direct basis without profit to OFS Services.</w:t>
      </w:r>
    </w:p>
    <w:p>
      <w:pPr>
        <w:pStyle w:val="TextBody"/>
        <w:bidi w:val="0"/>
        <w:spacing w:before="120" w:after="283"/>
        <w:jc w:val="left"/>
        <w:rPr>
          <w:rFonts w:ascii="Times New Roman" w:hAnsi="Times New Roman"/>
          <w:sz w:val="20"/>
        </w:rPr>
      </w:pPr>
      <w:r>
        <w:rPr>
          <w:rFonts w:ascii="Times New Roman" w:hAnsi="Times New Roman"/>
          <w:b/>
          <w:color w:val="000000"/>
          <w:sz w:val="20"/>
        </w:rPr>
        <w:t>Equity Ownership:</w:t>
      </w:r>
      <w:r>
        <w:rPr>
          <w:rFonts w:ascii="Times New Roman" w:hAnsi="Times New Roman"/>
          <w:color w:val="000000"/>
          <w:sz w:val="20"/>
        </w:rPr>
        <w:t xml:space="preserve"> As of June 30, 2026, affiliates of OFS Advisor held approximately 3,030,006 shares of common stock, which is approximately 22.6% of the Company’s outstanding shares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recognized under agreements with OFS Advisor and OFS Services and distributions paid to affiliates for the three and six months ended June 30, 2026 and 2025 are presented below:</w:t>
      </w:r>
    </w:p>
    <w:p>
      <w:pPr>
        <w:pStyle w:val="TextBody"/>
        <w:bidi w:val="0"/>
        <w:jc w:val="left"/>
        <w:rPr/>
      </w:pPr>
      <w:r>
        <w:rPr/>
        <w:t> </w:t>
      </w:r>
    </w:p>
    <w:tbl>
      <w:tblPr>
        <w:tblW w:w="8458" w:type="dxa"/>
        <w:jc w:val="left"/>
        <w:tblInd w:w="0" w:type="dxa"/>
        <w:tblLayout w:type="fixed"/>
        <w:tblCellMar>
          <w:top w:w="28" w:type="dxa"/>
          <w:left w:w="28" w:type="dxa"/>
          <w:bottom w:w="28" w:type="dxa"/>
          <w:right w:w="28" w:type="dxa"/>
        </w:tblCellMar>
      </w:tblPr>
      <w:tblGrid>
        <w:gridCol w:w="2881"/>
        <w:gridCol w:w="146"/>
        <w:gridCol w:w="288"/>
        <w:gridCol w:w="781"/>
        <w:gridCol w:w="227"/>
        <w:gridCol w:w="199"/>
        <w:gridCol w:w="288"/>
        <w:gridCol w:w="781"/>
        <w:gridCol w:w="146"/>
        <w:gridCol w:w="146"/>
        <w:gridCol w:w="268"/>
        <w:gridCol w:w="726"/>
        <w:gridCol w:w="211"/>
        <w:gridCol w:w="185"/>
        <w:gridCol w:w="268"/>
        <w:gridCol w:w="726"/>
        <w:gridCol w:w="19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Base management fee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Incentive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Administration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declared to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 For the three and six months ended June 30, 2025, the Company’s base management fee on OFSCC-FS Assets was reduced by $256 and $523, respectively, pursuant to the fee reduction provided by OFS Advisor on such assets for the year ended December 31, 2025. The base management fee for the three and six months ended June 30, 2025 is presented net of this fee reduction.</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4.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 Company had loans to 33 portfolio companies, of which approximately 97% were first lien debt investments and 3% were second lien debt investments, at fair value. The Company also had equity investments in 13 portfolio companies and 10 investments in Structured Finance Securities. As of June 30, 2026, the Company’s investments consisted of the following: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34"/>
        <w:gridCol w:w="146"/>
        <w:gridCol w:w="213"/>
        <w:gridCol w:w="793"/>
        <w:gridCol w:w="146"/>
        <w:gridCol w:w="146"/>
        <w:gridCol w:w="204"/>
        <w:gridCol w:w="802"/>
        <w:gridCol w:w="271"/>
        <w:gridCol w:w="146"/>
        <w:gridCol w:w="146"/>
        <w:gridCol w:w="571"/>
        <w:gridCol w:w="271"/>
        <w:gridCol w:w="146"/>
        <w:gridCol w:w="214"/>
        <w:gridCol w:w="795"/>
        <w:gridCol w:w="146"/>
        <w:gridCol w:w="146"/>
        <w:gridCol w:w="146"/>
        <w:gridCol w:w="571"/>
        <w:gridCol w:w="271"/>
        <w:gridCol w:w="146"/>
        <w:gridCol w:w="146"/>
        <w:gridCol w:w="571"/>
        <w:gridCol w:w="518"/>
      </w:tblGrid>
      <w:tr>
        <w:trPr/>
        <w:tc>
          <w:tcPr>
            <w:tcW w:w="2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Total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Total</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br/>
              <w:t>Assets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w:t>
              <w:br/>
              <w:t>Value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br/>
              <w:t>Assets</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First lien debt investments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Common equity, warrants and other</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debt and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Finance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w:t>
            </w:r>
          </w:p>
        </w:tc>
        <w:tc>
          <w:tcPr>
            <w:tcW w:w="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pPr>
      <w:r>
        <w:rPr>
          <w:rFonts w:ascii="Times New Roman" w:hAnsi="Times New Roman"/>
          <w:color w:val="000000"/>
          <w:sz w:val="20"/>
        </w:rPr>
        <w:t>Includes unitranche investments (which are loans that combine both senior and subordinated debt, in a first lien position) with an amortized cost and fair value of $123,413</w:t>
      </w:r>
      <w:r>
        <w:rPr>
          <w:color w:val="000000"/>
        </w:rPr>
        <w:t xml:space="preserve"> </w:t>
      </w:r>
      <w:r>
        <w:rPr>
          <w:rFonts w:ascii="Times New Roman" w:hAnsi="Times New Roman"/>
          <w:color w:val="000000"/>
          <w:sz w:val="20"/>
        </w:rPr>
        <w:t>and $106,393, respectively. Unitranche loans generally provide leverage levels comparable to a combination of first lien and second lien or subordinated loans. Investments in “last out” pieces of unitranche loans will be similar to second lien loans in that such investments will be junior in priority to the “first out” piece of the same unitranche loan with respect to payment of principal and interest. Includes secondary priority debt investments governed under a first lien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the Company’s investment in Pfanstiehl Holdings, Inc. See “Note 4—Portfolio Concentration” for additional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color w:val="000000"/>
          <w:sz w:val="20"/>
        </w:rPr>
      </w:pPr>
      <w:r>
        <w:rPr>
          <w:rFonts w:ascii="Times New Roman" w:hAnsi="Times New Roman"/>
          <w:color w:val="000000"/>
          <w:sz w:val="20"/>
        </w:rPr>
        <w:t>Notes to Consolidated Financial Statements (unaudited)</w:t>
      </w:r>
    </w:p>
    <w:p>
      <w:pPr>
        <w:pStyle w:val="TextBody"/>
        <w:bidi w:val="0"/>
        <w:jc w:val="left"/>
        <w:rPr>
          <w:rFonts w:ascii="Times New Roman" w:hAnsi="Times New Roman"/>
          <w:color w:val="000000"/>
          <w:sz w:val="20"/>
        </w:rPr>
      </w:pPr>
      <w:r>
        <w:rPr>
          <w:rFonts w:ascii="Times New Roman" w:hAnsi="Times New Roman"/>
          <w:color w:val="000000"/>
          <w:sz w:val="20"/>
        </w:rPr>
        <w:t>(Dollar amounts in thousands, except per share data)</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Geographic composition is determined by the location of the corporate headquarters of the portfolio company. All international investments are denominated in U.S. dollars. As of June 30, 2026 and December 31, 2025, the Company’s investment portfolio was domiciled as follows:</w:t>
      </w:r>
    </w:p>
    <w:p>
      <w:pPr>
        <w:pStyle w:val="TextBody"/>
        <w:bidi w:val="0"/>
        <w:jc w:val="left"/>
        <w:rPr/>
      </w:pPr>
      <w:r>
        <w:rPr/>
        <w:t> </w:t>
      </w:r>
    </w:p>
    <w:tbl>
      <w:tblPr>
        <w:tblW w:w="7844" w:type="dxa"/>
        <w:jc w:val="left"/>
        <w:tblInd w:w="0" w:type="dxa"/>
        <w:tblLayout w:type="fixed"/>
        <w:tblCellMar>
          <w:top w:w="28" w:type="dxa"/>
          <w:left w:w="28" w:type="dxa"/>
          <w:bottom w:w="28" w:type="dxa"/>
          <w:right w:w="28" w:type="dxa"/>
        </w:tblCellMar>
      </w:tblPr>
      <w:tblGrid>
        <w:gridCol w:w="1741"/>
        <w:gridCol w:w="146"/>
        <w:gridCol w:w="301"/>
        <w:gridCol w:w="1124"/>
        <w:gridCol w:w="146"/>
        <w:gridCol w:w="146"/>
        <w:gridCol w:w="217"/>
        <w:gridCol w:w="803"/>
        <w:gridCol w:w="146"/>
        <w:gridCol w:w="146"/>
        <w:gridCol w:w="301"/>
        <w:gridCol w:w="1124"/>
        <w:gridCol w:w="146"/>
        <w:gridCol w:w="146"/>
        <w:gridCol w:w="217"/>
        <w:gridCol w:w="803"/>
        <w:gridCol w:w="19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Canada</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Cayman Islands</w:t>
            </w:r>
            <w:r>
              <w:rPr>
                <w:rFonts w:ascii="Times New Roman" w:hAnsi="Times New Roman"/>
                <w:color w:val="000000"/>
                <w:sz w:val="13"/>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Jersey</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non-qualifying assets under Section 55(a) of the 1940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Investments domiciled in the Cayman Islands and Jersey represent certain Structured Finance Securities held by the Company. These investments generally represent beneficial interests in underlying portfolios of debt investments in companies domiciled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industry composition of the Company’s investment portfolio was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53"/>
        <w:gridCol w:w="146"/>
        <w:gridCol w:w="213"/>
        <w:gridCol w:w="793"/>
        <w:gridCol w:w="146"/>
        <w:gridCol w:w="146"/>
        <w:gridCol w:w="204"/>
        <w:gridCol w:w="802"/>
        <w:gridCol w:w="271"/>
        <w:gridCol w:w="146"/>
        <w:gridCol w:w="146"/>
        <w:gridCol w:w="571"/>
        <w:gridCol w:w="271"/>
        <w:gridCol w:w="146"/>
        <w:gridCol w:w="211"/>
        <w:gridCol w:w="781"/>
        <w:gridCol w:w="146"/>
        <w:gridCol w:w="146"/>
        <w:gridCol w:w="146"/>
        <w:gridCol w:w="571"/>
        <w:gridCol w:w="271"/>
        <w:gridCol w:w="146"/>
        <w:gridCol w:w="146"/>
        <w:gridCol w:w="571"/>
        <w:gridCol w:w="516"/>
      </w:tblGrid>
      <w:tr>
        <w:trPr/>
        <w:tc>
          <w:tcPr>
            <w:tcW w:w="25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Total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Total</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br/>
              <w:t>Assets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w:t>
              <w:br/>
              <w:t>Value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br/>
              <w:t>Assets</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Administrative and Support and Waste</w:t>
              <w:br/>
              <w:t>   Management and Remediation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Construction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Education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and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Health Care and Social Assistance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Management of Companies and Enterprises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Services (except Public Administration)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Scientific, and Technical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Public Administration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Real Estate and Rental and Leasing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Retail Trade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Wholesale Trade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debt and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Structured Finance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2025, the Company had loans to 34 portfolio companies, of which 95% were first lien debt investments and 5% were second lien debt investments, at fair value. The Company also held equity investments in 15 portfolio companies and 14 investments in Structured Finance Securities. At December 31, 2025, the Company’s investments consisted of the following: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34"/>
        <w:gridCol w:w="146"/>
        <w:gridCol w:w="213"/>
        <w:gridCol w:w="793"/>
        <w:gridCol w:w="146"/>
        <w:gridCol w:w="146"/>
        <w:gridCol w:w="204"/>
        <w:gridCol w:w="802"/>
        <w:gridCol w:w="271"/>
        <w:gridCol w:w="146"/>
        <w:gridCol w:w="146"/>
        <w:gridCol w:w="571"/>
        <w:gridCol w:w="271"/>
        <w:gridCol w:w="146"/>
        <w:gridCol w:w="214"/>
        <w:gridCol w:w="795"/>
        <w:gridCol w:w="146"/>
        <w:gridCol w:w="146"/>
        <w:gridCol w:w="146"/>
        <w:gridCol w:w="571"/>
        <w:gridCol w:w="271"/>
        <w:gridCol w:w="146"/>
        <w:gridCol w:w="146"/>
        <w:gridCol w:w="571"/>
        <w:gridCol w:w="518"/>
      </w:tblGrid>
      <w:tr>
        <w:trPr/>
        <w:tc>
          <w:tcPr>
            <w:tcW w:w="2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Total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Total</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br/>
              <w:t>Assets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w:t>
              <w:br/>
              <w:t>Value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br/>
              <w:t>Assets</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First lien debt investments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Common equity, warrants and other</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debt and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Finance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w:t>
            </w:r>
          </w:p>
        </w:tc>
        <w:tc>
          <w:tcPr>
            <w:tcW w:w="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color w:val="000000"/>
          <w:sz w:val="20"/>
        </w:rPr>
      </w:pPr>
      <w:r>
        <w:rPr>
          <w:rFonts w:ascii="Times New Roman" w:hAnsi="Times New Roman"/>
          <w:color w:val="000000"/>
          <w:sz w:val="20"/>
        </w:rPr>
        <w:t>Notes to Consolidated Financial Statements (unaudited)</w:t>
      </w:r>
    </w:p>
    <w:p>
      <w:pPr>
        <w:pStyle w:val="TextBody"/>
        <w:bidi w:val="0"/>
        <w:jc w:val="left"/>
        <w:rPr>
          <w:rFonts w:ascii="Times New Roman" w:hAnsi="Times New Roman"/>
          <w:color w:val="000000"/>
          <w:sz w:val="20"/>
        </w:rPr>
      </w:pPr>
      <w:r>
        <w:rPr>
          <w:rFonts w:ascii="Times New Roman" w:hAnsi="Times New Roman"/>
          <w:color w:val="000000"/>
          <w:sz w:val="20"/>
        </w:rPr>
        <w:t>(Dollar amounts in thousands, except per share data)</w:t>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Includes unitranche investments (which are loans that combine both senior and subordinated debt, in a first lien position) with an amortized cost and fair value of $130,270 and $116,279, respectively. Unitranche loans generally provide leverage levels comparable to a combination of first lien and second lien or subordinated loans. Investments in “last out” pieces of unitranche loans will be similar to second lien loans in that such investments will be junior in priority to the “first out” piece of the same unitranche loan with respect to payment of principal and interest. Includes secondary priority debt investments governed under a first lien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the Company’s investment in Pfanstiehl Holdings, Inc. See “Note 4—Portfolio Concentration”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industry compositions of the Company’s debt and equity investments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53"/>
        <w:gridCol w:w="146"/>
        <w:gridCol w:w="213"/>
        <w:gridCol w:w="793"/>
        <w:gridCol w:w="146"/>
        <w:gridCol w:w="146"/>
        <w:gridCol w:w="204"/>
        <w:gridCol w:w="802"/>
        <w:gridCol w:w="271"/>
        <w:gridCol w:w="146"/>
        <w:gridCol w:w="146"/>
        <w:gridCol w:w="571"/>
        <w:gridCol w:w="271"/>
        <w:gridCol w:w="146"/>
        <w:gridCol w:w="211"/>
        <w:gridCol w:w="781"/>
        <w:gridCol w:w="146"/>
        <w:gridCol w:w="146"/>
        <w:gridCol w:w="146"/>
        <w:gridCol w:w="571"/>
        <w:gridCol w:w="271"/>
        <w:gridCol w:w="146"/>
        <w:gridCol w:w="146"/>
        <w:gridCol w:w="571"/>
        <w:gridCol w:w="516"/>
      </w:tblGrid>
      <w:tr>
        <w:trPr/>
        <w:tc>
          <w:tcPr>
            <w:tcW w:w="25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Total</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Total</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br/>
              <w:t>Assets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w:t>
              <w:br/>
              <w:t>Value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br/>
              <w:t>Assets</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Administrative and Support and Waste</w:t>
              <w:br/>
              <w:t>   Management and Remediation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Construction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Education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and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Health Care and Social Assistance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Management of Companies and Enterprises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Services (except Public Administration)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Scientific, and Technical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Public Administration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Real Estate and Rental and Leasing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Retail Trade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Wholesale Trade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debt and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Structured Finance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Non-Accrual Loans:</w:t>
      </w:r>
      <w:r>
        <w:rPr>
          <w:rFonts w:ascii="Times New Roman" w:hAnsi="Times New Roman"/>
          <w:color w:val="000000"/>
          <w:sz w:val="20"/>
        </w:rPr>
        <w:t xml:space="preserve"> Management reviews, for placement on non-accrual status, all loans and CLO mezzanine debt investments that become past due on principal and interest, and/or when there is reasonable doubt that principal or interest will be collected. When a loan is placed on non-accrual status, accrued and unpaid cash interest is reversed.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appreciation/depreciation, as applicable. Additionally, Net Loan Fees are no longer recognized as of the date the loan is placed on non-accrual status. Depending upon management’s judgment, interest payments subsequently received on non-accrual investments may be recognized as interest income or applied as a reduction to amortized cost. Interest accruals and Net Loan Fee amortization are resumed on non-accrual investments only when they are brought current with respect to principal and interest payments or until a restructuring occurs and, in the judgment of management, it is probable that the Company will collect all principal and interest from the investment. For the three months ended June 30, 2026, loans to a portfolio company with an aggregate amortized cost and fair value of $12,532 and $10,364, respectively, were placed on non-accrual status. The aggregate amortized cost and fair value of loans on non-accrual status as of June 30, 2026 was $43,990 and $21,386, respectively, and as of December 31, 2025 was $36,567 and $14,400,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color w:val="000000"/>
          <w:sz w:val="20"/>
        </w:rPr>
      </w:pPr>
      <w:r>
        <w:rPr>
          <w:rFonts w:ascii="Times New Roman" w:hAnsi="Times New Roman"/>
          <w:color w:val="000000"/>
          <w:sz w:val="20"/>
        </w:rPr>
        <w:t>Notes to Consolidated Financial Statements (unaudited)</w:t>
      </w:r>
    </w:p>
    <w:p>
      <w:pPr>
        <w:pStyle w:val="TextBody"/>
        <w:bidi w:val="0"/>
        <w:jc w:val="left"/>
        <w:rPr>
          <w:rFonts w:ascii="Times New Roman" w:hAnsi="Times New Roman"/>
          <w:color w:val="000000"/>
          <w:sz w:val="20"/>
        </w:rPr>
      </w:pPr>
      <w:r>
        <w:rPr>
          <w:rFonts w:ascii="Times New Roman" w:hAnsi="Times New Roman"/>
          <w:color w:val="000000"/>
          <w:sz w:val="20"/>
        </w:rPr>
        <w:t>(Dollar amounts in thousands, except per share data)</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Portfolio Concentration: </w:t>
      </w:r>
      <w:r>
        <w:rPr>
          <w:rFonts w:ascii="Times New Roman" w:hAnsi="Times New Roman"/>
          <w:color w:val="000000"/>
          <w:sz w:val="20"/>
        </w:rPr>
        <w:t xml:space="preserve">The following table presents the Company’s portfolio companies based on fair value that comprise greater than 10% of the Company’s total net assets as of June 30, 2026: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92"/>
        <w:gridCol w:w="146"/>
        <w:gridCol w:w="1464"/>
        <w:gridCol w:w="146"/>
        <w:gridCol w:w="2051"/>
        <w:gridCol w:w="146"/>
        <w:gridCol w:w="239"/>
        <w:gridCol w:w="767"/>
        <w:gridCol w:w="146"/>
        <w:gridCol w:w="146"/>
        <w:gridCol w:w="212"/>
        <w:gridCol w:w="787"/>
        <w:gridCol w:w="146"/>
        <w:gridCol w:w="146"/>
        <w:gridCol w:w="146"/>
        <w:gridCol w:w="467"/>
        <w:gridCol w:w="271"/>
        <w:gridCol w:w="146"/>
        <w:gridCol w:w="146"/>
        <w:gridCol w:w="573"/>
        <w:gridCol w:w="322"/>
      </w:tblGrid>
      <w:tr>
        <w:trPr/>
        <w:tc>
          <w:tcPr>
            <w:tcW w:w="1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Total</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Investment</w:t>
              <w:b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w:t>
              <w:br/>
              <w:t>Value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w:t>
              <w:br/>
              <w:t>Assets</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Pfanstiehl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Kreg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Health Care and Social Assistance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SS Acquisition, LLC</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Education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Inergex Holdings,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Scientific, and Technical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Datascan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and Common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 Estate and Rental and Leasing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As of June 30, 2026, the Company had an outstanding commitment of $1,286 to fund the portfolio company’s undrawn revolver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deterioration in the operating performance of these portfolio investments, or other factors underlying the valuation of these investments, could have a material impact on the Company’s NAV.</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5. 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investments are carried at fair value and determined in accordance with ASC 820 and a documented valuation policy that is applied in a consistent manner. Pursuant to Rule 2a-5 of the 1940 Act (“Rule 2a-5”), the Board designated OFS Advisor as the valuation designee to perform fair value determinations relating to the Company’s investments, and the Board maintains oversight of OFS Advisor in its capacity as valuation designee, as prescribed in Rule 2a-5. The Company engages third-party valuation firms to provide assistance to OFS Advisor in determining the fair value for a majority of its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in an orderly transaction between market participants at the measurement date. Fair values are determined with models or other valuation techniques, valuation inputs, and assumptions that market participants would use in pricing an asset or liability. Valuation inputs are organized in a hierarchy that gives the highest priority to prices for identical assets or liabilities quoted in active markets (Level 1) and the lowest priority to fair values based on unobservable inputs (Level 3). The three levels of inputs in the fair value hierarchy are described below:</w:t>
      </w:r>
    </w:p>
    <w:p>
      <w:pPr>
        <w:pStyle w:val="TextBody"/>
        <w:bidi w:val="0"/>
        <w:spacing w:before="120" w:after="283"/>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Unadjusted quoted prices in active markets for identical assets or liabilities that the reporting entity can access at the measurement date.</w:t>
      </w:r>
    </w:p>
    <w:p>
      <w:pPr>
        <w:pStyle w:val="TextBody"/>
        <w:bidi w:val="0"/>
        <w:spacing w:before="120" w:after="283"/>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Inputs other than quoted prices within Level 1 that are observable for the asset or liability, either directly or indirectly.</w:t>
      </w:r>
    </w:p>
    <w:p>
      <w:pPr>
        <w:pStyle w:val="TextBody"/>
        <w:bidi w:val="0"/>
        <w:spacing w:before="120" w:after="283"/>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Unobservable inputs for the asset or liability, and situations where there is little, if any, market activity for the asset or liability at the measurement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inputs into the determination of fair value are based upon the best information under the circumstances and may require management to exercise significant judgment or estimation. 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considers factors specific to the investment. The Company generally categorizes its investment portfolio into Level 3, and to a lesser extent Level 2, of the hierarchy.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assesses the levels of the investments at each measurement date, and transfers between levels are recognized on the measurement date. The following table presents the Company’s transfers of Level 2 and Level 3 debt investments for the three and six months ended June 30, 2026 and 2025:</w:t>
      </w:r>
    </w:p>
    <w:tbl>
      <w:tblPr>
        <w:tblW w:w="8442" w:type="dxa"/>
        <w:jc w:val="left"/>
        <w:tblInd w:w="0" w:type="dxa"/>
        <w:tblLayout w:type="fixed"/>
        <w:tblCellMar>
          <w:top w:w="28" w:type="dxa"/>
          <w:left w:w="28" w:type="dxa"/>
          <w:bottom w:w="28" w:type="dxa"/>
          <w:right w:w="28" w:type="dxa"/>
        </w:tblCellMar>
      </w:tblPr>
      <w:tblGrid>
        <w:gridCol w:w="2806"/>
        <w:gridCol w:w="146"/>
        <w:gridCol w:w="339"/>
        <w:gridCol w:w="557"/>
        <w:gridCol w:w="235"/>
        <w:gridCol w:w="235"/>
        <w:gridCol w:w="339"/>
        <w:gridCol w:w="919"/>
        <w:gridCol w:w="146"/>
        <w:gridCol w:w="146"/>
        <w:gridCol w:w="308"/>
        <w:gridCol w:w="506"/>
        <w:gridCol w:w="213"/>
        <w:gridCol w:w="213"/>
        <w:gridCol w:w="308"/>
        <w:gridCol w:w="835"/>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from Level 2 to Level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from Level 3 to 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color w:val="000000"/>
          <w:sz w:val="20"/>
        </w:rPr>
      </w:pPr>
      <w:r>
        <w:rPr>
          <w:rFonts w:ascii="Times New Roman" w:hAnsi="Times New Roman"/>
          <w:color w:val="000000"/>
          <w:sz w:val="20"/>
        </w:rPr>
        <w:t>Notes to Consolidated Financial Statements (unaudited)</w:t>
      </w:r>
    </w:p>
    <w:p>
      <w:pPr>
        <w:pStyle w:val="TextBody"/>
        <w:bidi w:val="0"/>
        <w:jc w:val="left"/>
        <w:rPr>
          <w:rFonts w:ascii="Times New Roman" w:hAnsi="Times New Roman"/>
          <w:color w:val="000000"/>
          <w:sz w:val="20"/>
        </w:rPr>
      </w:pPr>
      <w:r>
        <w:rPr>
          <w:rFonts w:ascii="Times New Roman" w:hAnsi="Times New Roman"/>
          <w:color w:val="000000"/>
          <w:sz w:val="20"/>
        </w:rPr>
        <w:t>(Dollar amounts in thousands, except per share data)</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Transfers between levels occur when the availability of reliable Indicative Prices changes during the period. The Company classifies loan investments as Level 2 when sufficient Indicative Prices are available, and the depth of the market is sufficient, in management’s judgment, to transact at those prices in amounts approximating the Company’s investment position at the measurement date.</w:t>
      </w:r>
    </w:p>
    <w:p>
      <w:pPr>
        <w:pStyle w:val="TextBody"/>
        <w:bidi w:val="0"/>
        <w:jc w:val="left"/>
        <w:rPr>
          <w:rFonts w:ascii="Times New Roman" w:hAnsi="Times New Roman"/>
          <w:color w:val="000000"/>
          <w:sz w:val="20"/>
        </w:rPr>
      </w:pPr>
      <w:r>
        <w:rPr>
          <w:rFonts w:ascii="Times New Roman" w:hAnsi="Times New Roman"/>
          <w:color w:val="000000"/>
          <w:sz w:val="20"/>
        </w:rPr>
        <w:t>Due to the inherent uncertainty of determining the fair value of Level 3 investments, including the use of significant unobservable inputs, the fair value of the investments may differ significantly from the values that would have been used had a ready market or observable inputs existed for such investments and may differ materially from the values that may ultimately be received or settled. Further, such investments are generally subject to legal and other restrictions, or otherwise are less liquid than publicly traded instruments. If the Company were required to liquidate a portfolio investment in a forced or liquidation sale, the Company may realize significantly less than the value at which such investment had previously been recorded and incur a realized capital loss. The Company’s investments are subject to market risk as a result of economic and political developments, including impacts from interest rate and inflation rate changes, the ongoing war between Russia and Ukraine, the escalated armed conflict and heightened regional tensions in the Middle East, activity in South America, instability in the U.S. and international banking systems, the agenda of the U.S. presidential administration, including the impact of tariff enactment and tax reductions, trade disputes with other countries, the risk of recession or the impact of the prolonged shutdown of U.S. government services, and related market volatility. Market risk is directly impacted by the volatility and liquidity in the markets in which certain investments are traded and can affect the fair value of the Company’s investments. The Company’s investments are also subject to interest rate risk. Changes in interest rates enacted by the U.S. Federal Reserve may impact the Company’s investment income, cost of funding and the valuation of its investment portfolio.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the Company’s investment portfolio measured at fair value on a recurring basis as of June 30, 2026 and December 31, 2025:</w:t>
      </w:r>
    </w:p>
    <w:p>
      <w:pPr>
        <w:pStyle w:val="TextBody"/>
        <w:bidi w:val="0"/>
        <w:jc w:val="left"/>
        <w:rPr/>
      </w:pPr>
      <w:r>
        <w:rPr/>
        <w:t> </w:t>
      </w:r>
    </w:p>
    <w:tbl>
      <w:tblPr>
        <w:tblW w:w="8883" w:type="dxa"/>
        <w:jc w:val="left"/>
        <w:tblInd w:w="0" w:type="dxa"/>
        <w:tblLayout w:type="fixed"/>
        <w:tblCellMar>
          <w:top w:w="28" w:type="dxa"/>
          <w:left w:w="28" w:type="dxa"/>
          <w:bottom w:w="28" w:type="dxa"/>
          <w:right w:w="28" w:type="dxa"/>
        </w:tblCellMar>
      </w:tblPr>
      <w:tblGrid>
        <w:gridCol w:w="2491"/>
        <w:gridCol w:w="146"/>
        <w:gridCol w:w="277"/>
        <w:gridCol w:w="458"/>
        <w:gridCol w:w="146"/>
        <w:gridCol w:w="146"/>
        <w:gridCol w:w="211"/>
        <w:gridCol w:w="571"/>
        <w:gridCol w:w="146"/>
        <w:gridCol w:w="146"/>
        <w:gridCol w:w="211"/>
        <w:gridCol w:w="781"/>
        <w:gridCol w:w="146"/>
        <w:gridCol w:w="146"/>
        <w:gridCol w:w="568"/>
        <w:gridCol w:w="2102"/>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as of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Finance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297,756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438" w:type="dxa"/>
        <w:jc w:val="left"/>
        <w:tblInd w:w="0" w:type="dxa"/>
        <w:tblLayout w:type="fixed"/>
        <w:tblCellMar>
          <w:top w:w="28" w:type="dxa"/>
          <w:left w:w="28" w:type="dxa"/>
          <w:bottom w:w="28" w:type="dxa"/>
          <w:right w:w="28" w:type="dxa"/>
        </w:tblCellMar>
      </w:tblPr>
      <w:tblGrid>
        <w:gridCol w:w="2491"/>
        <w:gridCol w:w="146"/>
        <w:gridCol w:w="277"/>
        <w:gridCol w:w="458"/>
        <w:gridCol w:w="146"/>
        <w:gridCol w:w="146"/>
        <w:gridCol w:w="211"/>
        <w:gridCol w:w="676"/>
        <w:gridCol w:w="146"/>
        <w:gridCol w:w="146"/>
        <w:gridCol w:w="211"/>
        <w:gridCol w:w="781"/>
        <w:gridCol w:w="146"/>
        <w:gridCol w:w="146"/>
        <w:gridCol w:w="663"/>
        <w:gridCol w:w="2457"/>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Security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Finance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342,015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color w:val="000000"/>
          <w:sz w:val="20"/>
        </w:rPr>
      </w:pPr>
      <w:r>
        <w:rPr>
          <w:rFonts w:ascii="Times New Roman" w:hAnsi="Times New Roman"/>
          <w:color w:val="000000"/>
          <w:sz w:val="20"/>
        </w:rPr>
        <w:t>Notes to Consolidated Financial Statements (unaudited)</w:t>
      </w:r>
    </w:p>
    <w:p>
      <w:pPr>
        <w:pStyle w:val="TextBody"/>
        <w:bidi w:val="0"/>
        <w:jc w:val="left"/>
        <w:rPr>
          <w:rFonts w:ascii="Times New Roman" w:hAnsi="Times New Roman"/>
          <w:color w:val="000000"/>
          <w:sz w:val="20"/>
        </w:rPr>
      </w:pPr>
      <w:r>
        <w:rPr>
          <w:rFonts w:ascii="Times New Roman" w:hAnsi="Times New Roman"/>
          <w:color w:val="000000"/>
          <w:sz w:val="20"/>
        </w:rPr>
        <w:t>(Dollar amounts in thousands, except per share data)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provides the primary quantitative information about valuation techniques and the Company’s unobservable inputs to its Level 3 fair value measurements as of June 30, 2026 and December 31, 2025. The Company may make changes to the valuation techniques, among techniques otherwise commonly utilized in accordance with its valuation policies, and/or the weighting of techniques used for particular investments based on changes in facts-and-circumstances and depending on the availability of, or changes in, information in order to produce the best estimate of fair value as of the measurement date. In addition to the techniques and unobservable inputs noted in the tables below and in accordance with OFS Advisor’s valuation policy, OFS Advisor, as valuation designee, may also use other valuation techniques and methodologies when determining the fair value measurements of the Company’s investment assets. The tables are not intended to be all-inclusive and only present the most significant unobservable input(s) relevant to the valuation designee’s determination of fair value.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17"/>
        <w:gridCol w:w="146"/>
        <w:gridCol w:w="447"/>
        <w:gridCol w:w="1656"/>
        <w:gridCol w:w="146"/>
        <w:gridCol w:w="146"/>
        <w:gridCol w:w="1655"/>
        <w:gridCol w:w="146"/>
        <w:gridCol w:w="1700"/>
        <w:gridCol w:w="146"/>
        <w:gridCol w:w="2200"/>
      </w:tblGrid>
      <w:tr>
        <w:trPr/>
        <w:tc>
          <w:tcPr>
            <w:tcW w:w="1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0" w:type="dxa"/>
            <w:tcBorders/>
            <w:vAlign w:val="center"/>
          </w:tcPr>
          <w:p>
            <w:pPr>
              <w:pStyle w:val="TableContents"/>
              <w:bidi w:val="0"/>
              <w:spacing w:before="0" w:after="283"/>
              <w:jc w:val="left"/>
              <w:rPr>
                <w:sz w:val="4"/>
                <w:szCs w:val="4"/>
              </w:rPr>
            </w:pPr>
            <w:r>
              <w:rPr>
                <w:sz w:val="4"/>
                <w:szCs w:val="4"/>
              </w:rPr>
            </w:r>
          </w:p>
        </w:tc>
      </w:tr>
      <w:tr>
        <w:trPr/>
        <w:tc>
          <w:tcPr>
            <w:tcW w:w="18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at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Valuation 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Unobservable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000000"/>
                <w:sz w:val="20"/>
              </w:rPr>
              <w:t>Range</w:t>
              <w:br/>
              <w:t>(Weighted average)</w:t>
            </w:r>
            <w:r>
              <w:rPr>
                <w:rFonts w:ascii="Times New Roman" w:hAnsi="Times New Roman"/>
                <w:b/>
                <w:color w:val="000000"/>
                <w:sz w:val="15"/>
              </w:rPr>
              <w:t>(1)</w:t>
            </w:r>
          </w:p>
        </w:tc>
      </w:tr>
      <w:tr>
        <w:trPr/>
        <w:tc>
          <w:tcPr>
            <w:tcW w:w="18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First lien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Discounted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8.97% - 42.50% (13.08%)</w:t>
            </w:r>
          </w:p>
        </w:tc>
      </w:tr>
      <w:tr>
        <w:trPr/>
        <w:tc>
          <w:tcPr>
            <w:tcW w:w="18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approach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3.00x - 9.23x (6.44x)</w:t>
            </w:r>
          </w:p>
        </w:tc>
      </w:tr>
      <w:tr>
        <w:trPr/>
        <w:tc>
          <w:tcPr>
            <w:tcW w:w="18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approach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0.50x - 0.50x (0.50x)</w:t>
            </w:r>
          </w:p>
        </w:tc>
      </w:tr>
      <w:tr>
        <w:trPr/>
        <w:tc>
          <w:tcPr>
            <w:tcW w:w="1817"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26,709</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approach</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Price</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CAEEFB"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Second lien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Discounted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28.97% - 28.97% (28.97%)</w:t>
            </w:r>
          </w:p>
        </w:tc>
      </w:tr>
      <w:tr>
        <w:trPr/>
        <w:tc>
          <w:tcPr>
            <w:tcW w:w="18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approach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6.25x - 6.25x (6.25x)</w:t>
            </w:r>
          </w:p>
        </w:tc>
      </w:tr>
      <w:tr>
        <w:trPr/>
        <w:tc>
          <w:tcPr>
            <w:tcW w:w="18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approach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0.93x - 0.93x (0.93x)</w:t>
            </w:r>
          </w:p>
        </w:tc>
      </w:tr>
      <w:tr>
        <w:trPr/>
        <w:tc>
          <w:tcPr>
            <w:tcW w:w="18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Structured Finance</w:t>
              <w:br/>
              <w:t>   Securities</w:t>
            </w:r>
            <w:r>
              <w:rPr>
                <w:rFonts w:ascii="Times New Roman" w:hAnsi="Times New Roman"/>
                <w:b/>
                <w:color w:val="000000"/>
                <w:sz w:val="13"/>
              </w:rPr>
              <w:t>(2)</w:t>
            </w: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Discounted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17.50% - 65.00% (30.51%)</w:t>
            </w:r>
          </w:p>
        </w:tc>
      </w:tr>
      <w:tr>
        <w:trPr/>
        <w:tc>
          <w:tcPr>
            <w:tcW w:w="18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Constant default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 - 2.00% (2.00%)</w:t>
            </w:r>
          </w:p>
        </w:tc>
      </w:tr>
      <w:tr>
        <w:trPr/>
        <w:tc>
          <w:tcPr>
            <w:tcW w:w="18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Recovery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65.00% - 65.00% (65.00%)</w:t>
            </w:r>
          </w:p>
        </w:tc>
      </w:tr>
      <w:tr>
        <w:trPr/>
        <w:tc>
          <w:tcPr>
            <w:tcW w:w="1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Mezzanine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Discounted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15.50% - 15.50% (15.50%)</w:t>
            </w:r>
          </w:p>
        </w:tc>
      </w:tr>
      <w:tr>
        <w:trPr/>
        <w:tc>
          <w:tcPr>
            <w:tcW w:w="18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Constant default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2.00% - 2.00% (2.00%)</w:t>
            </w:r>
          </w:p>
        </w:tc>
      </w:tr>
      <w:tr>
        <w:trPr/>
        <w:tc>
          <w:tcPr>
            <w:tcW w:w="18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Recovery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65.00% - 65.00% (65.00%)</w:t>
            </w:r>
          </w:p>
        </w:tc>
      </w:tr>
      <w:tr>
        <w:trPr/>
        <w:tc>
          <w:tcPr>
            <w:tcW w:w="18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approach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7.25x - 8.25x (8.22x)</w:t>
            </w:r>
          </w:p>
        </w:tc>
      </w:tr>
      <w:tr>
        <w:trPr/>
        <w:tc>
          <w:tcPr>
            <w:tcW w:w="1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Market Approach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0.50x - 0.50x (0.50x)</w:t>
            </w:r>
          </w:p>
        </w:tc>
      </w:tr>
      <w:tr>
        <w:trPr/>
        <w:tc>
          <w:tcPr>
            <w:tcW w:w="18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equity,</w:t>
              <w:br/>
              <w:t>   warrants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approach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5.00x - 13.75x (11.98x)</w:t>
            </w:r>
          </w:p>
        </w:tc>
      </w:tr>
      <w:tr>
        <w:trPr/>
        <w:tc>
          <w:tcPr>
            <w:tcW w:w="18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Market Approach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0.50x - 0.50x (0.50x)</w:t>
            </w:r>
          </w:p>
        </w:tc>
      </w:tr>
      <w:tr>
        <w:trPr/>
        <w:tc>
          <w:tcPr>
            <w:tcW w:w="18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Weighted average is calculated based on the fair value of investments.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cash flows utilized in the discounted cash flow calculations assume: (i) liquidation of (a) certain distressed investments and (b) all investments currently in default held by the issuing CLO at their current market prices; and (ii) redeployment of proceeds at the issuing CLO’s assumed reinvestment rate.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color w:val="000000"/>
          <w:sz w:val="20"/>
        </w:rPr>
      </w:pPr>
      <w:r>
        <w:rPr>
          <w:rFonts w:ascii="Times New Roman" w:hAnsi="Times New Roman"/>
          <w:color w:val="000000"/>
          <w:sz w:val="20"/>
        </w:rPr>
        <w:t>Notes to Consolidated Financial Statements (unaudited)</w:t>
      </w:r>
    </w:p>
    <w:p>
      <w:pPr>
        <w:pStyle w:val="TextBody"/>
        <w:bidi w:val="0"/>
        <w:jc w:val="left"/>
        <w:rPr>
          <w:rFonts w:ascii="Times New Roman" w:hAnsi="Times New Roman"/>
          <w:color w:val="000000"/>
          <w:sz w:val="20"/>
        </w:rPr>
      </w:pPr>
      <w:r>
        <w:rPr>
          <w:rFonts w:ascii="Times New Roman" w:hAnsi="Times New Roman"/>
          <w:color w:val="000000"/>
          <w:sz w:val="20"/>
        </w:rPr>
        <w:t>(Dollar amounts in thousands, except per share data)</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17"/>
        <w:gridCol w:w="146"/>
        <w:gridCol w:w="456"/>
        <w:gridCol w:w="1692"/>
        <w:gridCol w:w="146"/>
        <w:gridCol w:w="146"/>
        <w:gridCol w:w="1528"/>
        <w:gridCol w:w="146"/>
        <w:gridCol w:w="1987"/>
        <w:gridCol w:w="146"/>
        <w:gridCol w:w="1895"/>
      </w:tblGrid>
      <w:tr>
        <w:trPr/>
        <w:tc>
          <w:tcPr>
            <w:tcW w:w="1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r>
      <w:tr>
        <w:trPr/>
        <w:tc>
          <w:tcPr>
            <w:tcW w:w="1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at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Valuation 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Unobservable inputs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Range</w:t>
              <w:br/>
              <w:t>(Weighted average)</w:t>
            </w:r>
            <w:r>
              <w:rPr>
                <w:rFonts w:ascii="Times New Roman" w:hAnsi="Times New Roman"/>
                <w:b/>
                <w:color w:val="000000"/>
                <w:sz w:val="13"/>
              </w:rPr>
              <w:t>(1)</w:t>
            </w:r>
          </w:p>
        </w:tc>
      </w:tr>
      <w:tr>
        <w:trPr/>
        <w:tc>
          <w:tcPr>
            <w:tcW w:w="19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First lien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Discounted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8.61% - 37.50% (12.77%)</w:t>
            </w:r>
          </w:p>
        </w:tc>
      </w:tr>
      <w:tr>
        <w:trPr/>
        <w:tc>
          <w:tcPr>
            <w:tcW w:w="19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approach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3.00x - 8.00x (6.11x)</w:t>
            </w:r>
          </w:p>
        </w:tc>
      </w:tr>
      <w:tr>
        <w:trPr/>
        <w:tc>
          <w:tcPr>
            <w:tcW w:w="1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approach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0.35x - 0.50x (0.35x)</w:t>
            </w:r>
          </w:p>
        </w:tc>
      </w:tr>
      <w:tr>
        <w:trPr/>
        <w:tc>
          <w:tcPr>
            <w:tcW w:w="19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approach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Second lien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Discounted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13.70% - 13.70% (13.70%)</w:t>
            </w:r>
          </w:p>
        </w:tc>
      </w:tr>
      <w:tr>
        <w:trPr/>
        <w:tc>
          <w:tcPr>
            <w:tcW w:w="19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approach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9.00x - 9.00x (9.00x)</w:t>
            </w:r>
          </w:p>
        </w:tc>
      </w:tr>
      <w:tr>
        <w:trPr/>
        <w:tc>
          <w:tcPr>
            <w:tcW w:w="1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approach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0.35x - 0.90x (0.70x)</w:t>
            </w:r>
          </w:p>
        </w:tc>
      </w:tr>
      <w:tr>
        <w:trPr/>
        <w:tc>
          <w:tcPr>
            <w:tcW w:w="19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Structured Finance</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Subordinated notes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Discounted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13.00% - 27.50% (18.73%)</w:t>
            </w:r>
          </w:p>
        </w:tc>
      </w:tr>
      <w:tr>
        <w:trPr/>
        <w:tc>
          <w:tcPr>
            <w:tcW w:w="19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Constant default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2.00% - 3.00% (2.08%)</w:t>
            </w:r>
          </w:p>
        </w:tc>
      </w:tr>
      <w:tr>
        <w:trPr/>
        <w:tc>
          <w:tcPr>
            <w:tcW w:w="19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Recovery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65.00% - 65.00% (65.00%)</w:t>
            </w:r>
          </w:p>
        </w:tc>
      </w:tr>
      <w:tr>
        <w:trPr/>
        <w:tc>
          <w:tcPr>
            <w:tcW w:w="19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Mezzanine debt</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Discounted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9.10% - 10.70% (9.62%)</w:t>
            </w:r>
          </w:p>
        </w:tc>
      </w:tr>
      <w:tr>
        <w:trPr/>
        <w:tc>
          <w:tcPr>
            <w:tcW w:w="19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Constant default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2.00% - 2.00% (2.00%)</w:t>
            </w:r>
          </w:p>
        </w:tc>
      </w:tr>
      <w:tr>
        <w:trPr/>
        <w:tc>
          <w:tcPr>
            <w:tcW w:w="19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Recovery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65.00% - 65.00% (65.00%)</w:t>
            </w:r>
          </w:p>
        </w:tc>
      </w:tr>
      <w:tr>
        <w:trPr/>
        <w:tc>
          <w:tcPr>
            <w:tcW w:w="19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approach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asset value liquidation</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Preferred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approach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7.25x - 8.50x (8.46x)</w:t>
            </w:r>
          </w:p>
        </w:tc>
      </w:tr>
      <w:tr>
        <w:trPr/>
        <w:tc>
          <w:tcPr>
            <w:tcW w:w="19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approach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0.50x - 0.50x (0.50x)</w:t>
            </w:r>
          </w:p>
        </w:tc>
      </w:tr>
      <w:tr>
        <w:trPr/>
        <w:tc>
          <w:tcPr>
            <w:tcW w:w="19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equity, warrants</w:t>
              <w:br/>
              <w:t>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approach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 multiples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6.00x - 14.75x (12.33x)</w:t>
            </w:r>
          </w:p>
        </w:tc>
      </w:tr>
      <w:tr>
        <w:trPr/>
        <w:tc>
          <w:tcPr>
            <w:tcW w:w="191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equity, warrants</w:t>
              <w:br/>
              <w:t>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approach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multiples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0.35x - 0.50x (0.44x)</w:t>
            </w:r>
          </w:p>
        </w:tc>
      </w:tr>
      <w:tr>
        <w:trPr/>
        <w:tc>
          <w:tcPr>
            <w:tcW w:w="19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Weighted average is calculated based on the fair value of investments.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cash flows utilized in the discounted cash flow calculations assume: (i) liquidation of (a) certain distressed investments and (b) all investments currently in default held by the issuing CLO at their current market prices; and (ii) redeployment of proceeds at the issuing CLO’s assumed reinvestment rate.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NAV liquidation represents the fair value, or estimated expected residual value, of the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market credit spreads or events impacting the credit quality of the underlying portfolio company (both of which could impact the discount rate), as well as changes in enterprise value and/or EBITDA multiples, among other things, could have a significant impact on fair values, with the fair value of a particular debt investment susceptible to change in inverse relation to the changes in the discount rate. Changes in enterprise value and/or EBITDA multiples, as well as changes in the discount rate, could have a significant impact on fair values, with the fair value of an equity investment susceptible to change in tandem with the changes in enterprise value and/or EBITDA multiples, and in inverse relation to changes in the discount rate. Due to the wide range of approaches in developing input assumptions to these valuation techniques and the degree of subjectivity used in making the estimates, comparisons between the Company’s disclosures and those of other companies may not be meaningful.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color w:val="000000"/>
          <w:sz w:val="20"/>
        </w:rPr>
      </w:pPr>
      <w:r>
        <w:rPr>
          <w:rFonts w:ascii="Times New Roman" w:hAnsi="Times New Roman"/>
          <w:color w:val="000000"/>
          <w:sz w:val="20"/>
        </w:rPr>
        <w:t>Notes to Consolidated Financial Statements (unaudited)</w:t>
      </w:r>
    </w:p>
    <w:p>
      <w:pPr>
        <w:pStyle w:val="TextBody"/>
        <w:bidi w:val="0"/>
        <w:jc w:val="left"/>
        <w:rPr>
          <w:rFonts w:ascii="Times New Roman" w:hAnsi="Times New Roman"/>
          <w:color w:val="000000"/>
          <w:sz w:val="20"/>
        </w:rPr>
      </w:pPr>
      <w:r>
        <w:rPr>
          <w:rFonts w:ascii="Times New Roman" w:hAnsi="Times New Roman"/>
          <w:color w:val="000000"/>
          <w:sz w:val="20"/>
        </w:rPr>
        <w:t>(Dollar amounts in thousands, except per share data)</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changes in investments measured at fair value using Level 3 inputs for the six months ended June 30,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32"/>
        <w:gridCol w:w="146"/>
        <w:gridCol w:w="232"/>
        <w:gridCol w:w="819"/>
        <w:gridCol w:w="166"/>
        <w:gridCol w:w="146"/>
        <w:gridCol w:w="268"/>
        <w:gridCol w:w="783"/>
        <w:gridCol w:w="166"/>
        <w:gridCol w:w="146"/>
        <w:gridCol w:w="203"/>
        <w:gridCol w:w="623"/>
        <w:gridCol w:w="166"/>
        <w:gridCol w:w="146"/>
        <w:gridCol w:w="241"/>
        <w:gridCol w:w="852"/>
        <w:gridCol w:w="166"/>
        <w:gridCol w:w="146"/>
        <w:gridCol w:w="216"/>
        <w:gridCol w:w="730"/>
        <w:gridCol w:w="166"/>
        <w:gridCol w:w="146"/>
        <w:gridCol w:w="196"/>
        <w:gridCol w:w="691"/>
        <w:gridCol w:w="213"/>
      </w:tblGrid>
      <w:tr>
        <w:trPr/>
        <w:tc>
          <w:tcPr>
            <w:tcW w:w="24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4"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 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First 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Second 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Preferred</w:t>
              <w:b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Equity,</w:t>
              <w:br/>
              <w:t>Warrants</w:t>
              <w:br/>
              <w:t>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Structured</w:t>
              <w:br/>
              <w:t>Finance</w:t>
              <w:br/>
              <w:t>Securities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Level 3 assets,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327,206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(16,172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unrealized appreciation (depreciation)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9,153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Net Loan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Accretion of interest income on Structured Finance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Capitalized PIK interest and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Amendment fees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and origination of portfolio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principal payments on portfolio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(9,830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 and redemption of portfolio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(25,609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distributions received from portfolio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Level 3 assets,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134,862</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6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3,944</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12,574</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104,082</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34,072</w:t>
            </w:r>
          </w:p>
        </w:tc>
        <w:tc>
          <w:tcPr>
            <w:tcW w:w="1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289,534</w:t>
            </w:r>
          </w:p>
        </w:tc>
        <w:tc>
          <w:tcPr>
            <w:tcW w:w="2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8"/>
        <w:gridCol w:w="146"/>
        <w:gridCol w:w="232"/>
        <w:gridCol w:w="819"/>
        <w:gridCol w:w="166"/>
        <w:gridCol w:w="146"/>
        <w:gridCol w:w="258"/>
        <w:gridCol w:w="793"/>
        <w:gridCol w:w="166"/>
        <w:gridCol w:w="146"/>
        <w:gridCol w:w="203"/>
        <w:gridCol w:w="623"/>
        <w:gridCol w:w="166"/>
        <w:gridCol w:w="146"/>
        <w:gridCol w:w="264"/>
        <w:gridCol w:w="813"/>
        <w:gridCol w:w="166"/>
        <w:gridCol w:w="146"/>
        <w:gridCol w:w="232"/>
        <w:gridCol w:w="714"/>
        <w:gridCol w:w="166"/>
        <w:gridCol w:w="146"/>
        <w:gridCol w:w="196"/>
        <w:gridCol w:w="691"/>
        <w:gridCol w:w="213"/>
      </w:tblGrid>
      <w:tr>
        <w:trPr/>
        <w:tc>
          <w:tcPr>
            <w:tcW w:w="2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8"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 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First 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Second Lien</w:t>
              <w:br/>
              <w:t>Debt</w:t>
              <w:br/>
              <w:t>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Preferred</w:t>
              <w:b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Equity,</w:t>
              <w:br/>
              <w:t>Warrants</w:t>
              <w:br/>
              <w:t>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Structured</w:t>
              <w:br/>
              <w:t>Finance</w:t>
              <w:br/>
              <w:t>Securities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8" w:type="dxa"/>
            <w:tcBorders/>
            <w:shd w:fill="C1E5F5"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Level 3 assets, December 31, 2024</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1E5F5"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9" w:type="dxa"/>
            <w:tcBorders/>
            <w:shd w:fill="C1E5F5"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168,037</w:t>
            </w:r>
          </w:p>
        </w:tc>
        <w:tc>
          <w:tcPr>
            <w:tcW w:w="16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1E5F5"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shd w:fill="C1E5F5"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34,331</w:t>
            </w:r>
          </w:p>
        </w:tc>
        <w:tc>
          <w:tcPr>
            <w:tcW w:w="16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1E5F5"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3" w:type="dxa"/>
            <w:tcBorders/>
            <w:shd w:fill="C1E5F5"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12,248</w:t>
            </w:r>
          </w:p>
        </w:tc>
        <w:tc>
          <w:tcPr>
            <w:tcW w:w="16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1E5F5"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3" w:type="dxa"/>
            <w:tcBorders/>
            <w:shd w:fill="C1E5F5"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96,337</w:t>
            </w:r>
          </w:p>
        </w:tc>
        <w:tc>
          <w:tcPr>
            <w:tcW w:w="16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1E5F5"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C1E5F5"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76,875</w:t>
            </w:r>
          </w:p>
        </w:tc>
        <w:tc>
          <w:tcPr>
            <w:tcW w:w="16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1E5F5"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1E5F5"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387,828</w:t>
            </w:r>
          </w:p>
        </w:tc>
        <w:tc>
          <w:tcPr>
            <w:tcW w:w="213"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48" w:type="dxa"/>
            <w:tcBorders/>
            <w:shd w:fill="C1E5F5"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unrealized appreciation (depreciation) on investments</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1E5F5"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(5,779</w:t>
            </w:r>
          </w:p>
        </w:tc>
        <w:tc>
          <w:tcPr>
            <w:tcW w:w="166" w:type="dxa"/>
            <w:tcBorders/>
            <w:shd w:fill="C1E5F5"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1E5F5"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(3,680</w:t>
            </w:r>
          </w:p>
        </w:tc>
        <w:tc>
          <w:tcPr>
            <w:tcW w:w="166" w:type="dxa"/>
            <w:tcBorders/>
            <w:shd w:fill="C1E5F5"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1E5F5"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(2,757</w:t>
            </w:r>
          </w:p>
        </w:tc>
        <w:tc>
          <w:tcPr>
            <w:tcW w:w="166" w:type="dxa"/>
            <w:tcBorders/>
            <w:shd w:fill="C1E5F5"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1E5F5"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(7,559</w:t>
            </w:r>
          </w:p>
        </w:tc>
        <w:tc>
          <w:tcPr>
            <w:tcW w:w="166" w:type="dxa"/>
            <w:tcBorders/>
            <w:shd w:fill="C1E5F5"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1E5F5"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2,462</w:t>
            </w:r>
          </w:p>
        </w:tc>
        <w:tc>
          <w:tcPr>
            <w:tcW w:w="16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1E5F5"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(17,313</w:t>
            </w:r>
          </w:p>
        </w:tc>
        <w:tc>
          <w:tcPr>
            <w:tcW w:w="213" w:type="dxa"/>
            <w:tcBorders/>
            <w:shd w:fill="C1E5F5"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Net Loan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8" w:type="dxa"/>
            <w:tcBorders/>
            <w:shd w:fill="C1E5F5"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Accretion of interest income on Structured Finance Securities</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1E5F5"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1E5F5"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1E5F5"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1E5F5"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1E5F5"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5,844</w:t>
            </w:r>
          </w:p>
        </w:tc>
        <w:tc>
          <w:tcPr>
            <w:tcW w:w="16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1E5F5"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5,844</w:t>
            </w:r>
          </w:p>
        </w:tc>
        <w:tc>
          <w:tcPr>
            <w:tcW w:w="213"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Capitalized PIK interest and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8" w:type="dxa"/>
            <w:tcBorders/>
            <w:shd w:fill="C1E5F5"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Amendment fees received</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1E5F5"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shd w:fill="C1E5F5"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1E5F5"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1E5F5"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1E5F5"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1E5F5"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1E5F5"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13" w:type="dxa"/>
            <w:tcBorders/>
            <w:shd w:fill="C1E5F5"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and origination of portfolio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22,918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8" w:type="dxa"/>
            <w:tcBorders/>
            <w:shd w:fill="C1E5F5"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principal payments on portfolio investments</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1E5F5"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(7,072</w:t>
            </w:r>
          </w:p>
        </w:tc>
        <w:tc>
          <w:tcPr>
            <w:tcW w:w="166" w:type="dxa"/>
            <w:tcBorders/>
            <w:shd w:fill="C1E5F5"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1E5F5"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1E5F5"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1E5F5"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1E5F5"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66" w:type="dxa"/>
            <w:tcBorders/>
            <w:shd w:fill="C1E5F5"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1E5F5"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(8,072</w:t>
            </w:r>
          </w:p>
        </w:tc>
        <w:tc>
          <w:tcPr>
            <w:tcW w:w="213" w:type="dxa"/>
            <w:tcBorders/>
            <w:shd w:fill="C1E5F5"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 and redemption of portfolio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(11,363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48" w:type="dxa"/>
            <w:tcBorders/>
            <w:shd w:fill="C1E5F5"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distributions received from portfolio investments</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1E5F5"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1E5F5"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1E5F5"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1E5F5"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1E5F5"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(6,934</w:t>
            </w:r>
          </w:p>
        </w:tc>
        <w:tc>
          <w:tcPr>
            <w:tcW w:w="166" w:type="dxa"/>
            <w:tcBorders/>
            <w:shd w:fill="C1E5F5"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1E5F5"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(6,934</w:t>
            </w:r>
          </w:p>
        </w:tc>
        <w:tc>
          <w:tcPr>
            <w:tcW w:w="213" w:type="dxa"/>
            <w:tcBorders/>
            <w:shd w:fill="C1E5F5"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Transfers from Level 3 to 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48" w:type="dxa"/>
            <w:tcBorders/>
            <w:shd w:fill="C1E5F5"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Level 3 assets, June 30, 2025</w:t>
            </w:r>
          </w:p>
        </w:tc>
        <w:tc>
          <w:tcPr>
            <w:tcW w:w="146" w:type="dxa"/>
            <w:tcBorders/>
            <w:shd w:fill="C1E5F5"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1E5F5"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9" w:type="dxa"/>
            <w:tcBorders>
              <w:bottom w:val="double" w:sz="6" w:space="0" w:color="000000"/>
            </w:tcBorders>
            <w:shd w:fill="C1E5F5"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166,171</w:t>
            </w:r>
          </w:p>
        </w:tc>
        <w:tc>
          <w:tcPr>
            <w:tcW w:w="166" w:type="dxa"/>
            <w:tcBorders>
              <w:bottom w:val="double" w:sz="6" w:space="0" w:color="000000"/>
            </w:tcBorders>
            <w:shd w:fill="C1E5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1E5F5"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1E5F5"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93" w:type="dxa"/>
            <w:tcBorders>
              <w:bottom w:val="double" w:sz="6" w:space="0" w:color="000000"/>
            </w:tcBorders>
            <w:shd w:fill="C1E5F5"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27,652</w:t>
            </w:r>
          </w:p>
        </w:tc>
        <w:tc>
          <w:tcPr>
            <w:tcW w:w="166" w:type="dxa"/>
            <w:tcBorders>
              <w:bottom w:val="double" w:sz="6" w:space="0" w:color="000000"/>
            </w:tcBorders>
            <w:shd w:fill="C1E5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1E5F5" w:val="clear"/>
            <w:tcMar>
              <w:top w:w="0" w:type="dxa"/>
              <w:left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1E5F5"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23" w:type="dxa"/>
            <w:tcBorders>
              <w:bottom w:val="double" w:sz="6" w:space="0" w:color="000000"/>
            </w:tcBorders>
            <w:shd w:fill="C1E5F5"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10,075</w:t>
            </w:r>
          </w:p>
        </w:tc>
        <w:tc>
          <w:tcPr>
            <w:tcW w:w="166" w:type="dxa"/>
            <w:tcBorders>
              <w:bottom w:val="double" w:sz="6" w:space="0" w:color="000000"/>
            </w:tcBorders>
            <w:shd w:fill="C1E5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1E5F5"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1E5F5"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3" w:type="dxa"/>
            <w:tcBorders>
              <w:bottom w:val="double" w:sz="6" w:space="0" w:color="000000"/>
            </w:tcBorders>
            <w:shd w:fill="C1E5F5"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88,778</w:t>
            </w:r>
          </w:p>
        </w:tc>
        <w:tc>
          <w:tcPr>
            <w:tcW w:w="166" w:type="dxa"/>
            <w:tcBorders>
              <w:bottom w:val="double" w:sz="6" w:space="0" w:color="000000"/>
            </w:tcBorders>
            <w:shd w:fill="C1E5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1E5F5"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1E5F5"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bottom w:val="double" w:sz="6" w:space="0" w:color="000000"/>
            </w:tcBorders>
            <w:shd w:fill="C1E5F5"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72,566</w:t>
            </w:r>
          </w:p>
        </w:tc>
        <w:tc>
          <w:tcPr>
            <w:tcW w:w="166" w:type="dxa"/>
            <w:tcBorders>
              <w:bottom w:val="double" w:sz="6" w:space="0" w:color="000000"/>
            </w:tcBorders>
            <w:shd w:fill="C1E5F5"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1E5F5"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1E5F5"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1E5F5"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365,242</w:t>
            </w:r>
          </w:p>
        </w:tc>
        <w:tc>
          <w:tcPr>
            <w:tcW w:w="213" w:type="dxa"/>
            <w:tcBorders>
              <w:bottom w:val="double" w:sz="6" w:space="0" w:color="000000"/>
            </w:tcBorders>
            <w:shd w:fill="C1E5F5"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net unrealized depreciation reported in the Company’s consolidated statements of operations for the six months ended June 30, 2026 and 2025, attributable to the Company’s Level 3 assets still held at those respective period ends, was as follows:</w:t>
      </w:r>
    </w:p>
    <w:p>
      <w:pPr>
        <w:pStyle w:val="TextBody"/>
        <w:bidi w:val="0"/>
        <w:jc w:val="left"/>
        <w:rPr/>
      </w:pPr>
      <w:r>
        <w:rPr/>
        <w:t> </w:t>
      </w:r>
    </w:p>
    <w:tbl>
      <w:tblPr>
        <w:tblW w:w="6792" w:type="dxa"/>
        <w:jc w:val="left"/>
        <w:tblInd w:w="0" w:type="dxa"/>
        <w:tblLayout w:type="fixed"/>
        <w:tblCellMar>
          <w:top w:w="28" w:type="dxa"/>
          <w:left w:w="28" w:type="dxa"/>
          <w:bottom w:w="28" w:type="dxa"/>
          <w:right w:w="28" w:type="dxa"/>
        </w:tblCellMar>
      </w:tblPr>
      <w:tblGrid>
        <w:gridCol w:w="4051"/>
        <w:gridCol w:w="146"/>
        <w:gridCol w:w="228"/>
        <w:gridCol w:w="796"/>
        <w:gridCol w:w="179"/>
        <w:gridCol w:w="157"/>
        <w:gridCol w:w="228"/>
        <w:gridCol w:w="796"/>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Finance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(12,789</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depreciation on investments held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color w:val="000000"/>
          <w:sz w:val="20"/>
        </w:rPr>
      </w:pPr>
      <w:r>
        <w:rPr>
          <w:rFonts w:ascii="Times New Roman" w:hAnsi="Times New Roman"/>
          <w:color w:val="000000"/>
          <w:sz w:val="20"/>
        </w:rPr>
        <w:t>Notes to Consolidated Financial Statements (unaudited)</w:t>
      </w:r>
    </w:p>
    <w:p>
      <w:pPr>
        <w:pStyle w:val="TextBody"/>
        <w:bidi w:val="0"/>
        <w:jc w:val="left"/>
        <w:rPr>
          <w:rFonts w:ascii="Times New Roman" w:hAnsi="Times New Roman"/>
          <w:color w:val="000000"/>
          <w:sz w:val="20"/>
        </w:rPr>
      </w:pPr>
      <w:r>
        <w:rPr>
          <w:rFonts w:ascii="Times New Roman" w:hAnsi="Times New Roman"/>
          <w:color w:val="000000"/>
          <w:sz w:val="20"/>
        </w:rPr>
        <w:t>(Dollar amounts in thousands, except per share data)</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Other Financial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GAAP requires disclosure of the fair value of financial instruments not reported at fair value on a recurring basis for which it is practical to estimate such values. The Company believes that the carrying amounts of its other financial instruments, such as cash, cash equivalents, receivables and payables approximate the fair value of such items due to the short maturity of such financial instruments. The Banc of California Credit Facility and Natixis Facility are variable rate instruments and fair value is estimated to approximate carrying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carrying values and fair values of the Company’s debt as of June 30, 2026 and December 31, 2025:</w:t>
      </w:r>
    </w:p>
    <w:p>
      <w:pPr>
        <w:pStyle w:val="TextBody"/>
        <w:bidi w:val="0"/>
        <w:jc w:val="left"/>
        <w:rPr/>
      </w:pPr>
      <w:r>
        <w:rPr/>
        <w:t> </w:t>
      </w:r>
    </w:p>
    <w:tbl>
      <w:tblPr>
        <w:tblW w:w="8493" w:type="dxa"/>
        <w:jc w:val="left"/>
        <w:tblInd w:w="0" w:type="dxa"/>
        <w:tblLayout w:type="fixed"/>
        <w:tblCellMar>
          <w:top w:w="28" w:type="dxa"/>
          <w:left w:w="28" w:type="dxa"/>
          <w:bottom w:w="28" w:type="dxa"/>
          <w:right w:w="28" w:type="dxa"/>
        </w:tblCellMar>
      </w:tblPr>
      <w:tblGrid>
        <w:gridCol w:w="3256"/>
        <w:gridCol w:w="146"/>
        <w:gridCol w:w="211"/>
        <w:gridCol w:w="781"/>
        <w:gridCol w:w="146"/>
        <w:gridCol w:w="146"/>
        <w:gridCol w:w="217"/>
        <w:gridCol w:w="803"/>
        <w:gridCol w:w="146"/>
        <w:gridCol w:w="146"/>
        <w:gridCol w:w="211"/>
        <w:gridCol w:w="781"/>
        <w:gridCol w:w="146"/>
        <w:gridCol w:w="146"/>
        <w:gridCol w:w="217"/>
        <w:gridCol w:w="803"/>
        <w:gridCol w:w="1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Carrying</w:t>
              <w:br/>
              <w:t>Value</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Carrying</w:t>
              <w:br/>
              <w:t>Value</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Banc of California Credit Facility</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BNP Facility</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Natixis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Unsecured Notes Due February 2026</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Unsecured Notes Due July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Unsecured Notes Due October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Unsecured Note Due August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219,739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40"/>
        <w:jc w:val="left"/>
        <w:rPr>
          <w:rFonts w:ascii="Times New Roman" w:hAnsi="Times New Roman"/>
          <w:color w:val="000000"/>
          <w:sz w:val="20"/>
        </w:rPr>
      </w:pPr>
      <w:r>
        <w:rPr>
          <w:rFonts w:ascii="Times New Roman" w:hAnsi="Times New Roman"/>
          <w:color w:val="000000"/>
          <w:sz w:val="20"/>
        </w:rPr>
        <w:t>Carrying value is calculated as the outstanding principal amount less unamortized deferred debt issuance costs.</w:t>
      </w:r>
    </w:p>
    <w:p>
      <w:pPr>
        <w:pStyle w:val="TextBody"/>
        <w:bidi w:val="0"/>
        <w:spacing w:before="0" w:after="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40"/>
        <w:jc w:val="left"/>
        <w:rPr>
          <w:rFonts w:ascii="Times New Roman" w:hAnsi="Times New Roman"/>
          <w:color w:val="000000"/>
          <w:sz w:val="20"/>
        </w:rPr>
      </w:pPr>
      <w:r>
        <w:rPr>
          <w:rFonts w:ascii="Times New Roman" w:hAnsi="Times New Roman"/>
          <w:color w:val="000000"/>
          <w:sz w:val="20"/>
        </w:rPr>
        <w:t>As of June 30, 2026, the Banc of California Credit Facility had no outstanding balance.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On February 18, 2026, in connection with the closing of the Natixis Facility, OFSCC-FS repaid in full all outstanding obligations due, and terminated all commitments, under the BNP Facility.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On February 9, 2026, the Company redeemed the remainder of the outstanding Unsecured Notes Due February 2026.</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tables present the fair value measurements of the Company’s debt and the level within the fair value hierarchy of the significant unobservable inputs utilized by the Company to determine such fair values as of June 30, 2026 and December 31, 2025:</w:t>
      </w:r>
    </w:p>
    <w:tbl>
      <w:tblPr>
        <w:tblW w:w="7848" w:type="dxa"/>
        <w:jc w:val="left"/>
        <w:tblInd w:w="0" w:type="dxa"/>
        <w:tblLayout w:type="fixed"/>
        <w:tblCellMar>
          <w:top w:w="28" w:type="dxa"/>
          <w:left w:w="28" w:type="dxa"/>
          <w:bottom w:w="28" w:type="dxa"/>
          <w:right w:w="28" w:type="dxa"/>
        </w:tblCellMar>
      </w:tblPr>
      <w:tblGrid>
        <w:gridCol w:w="3016"/>
        <w:gridCol w:w="146"/>
        <w:gridCol w:w="211"/>
        <w:gridCol w:w="781"/>
        <w:gridCol w:w="146"/>
        <w:gridCol w:w="146"/>
        <w:gridCol w:w="277"/>
        <w:gridCol w:w="458"/>
        <w:gridCol w:w="146"/>
        <w:gridCol w:w="146"/>
        <w:gridCol w:w="214"/>
        <w:gridCol w:w="686"/>
        <w:gridCol w:w="146"/>
        <w:gridCol w:w="146"/>
        <w:gridCol w:w="211"/>
        <w:gridCol w:w="781"/>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9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Level 1</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Level 3</w:t>
            </w:r>
            <w:r>
              <w:rPr>
                <w:rFonts w:ascii="Times New Roman" w:hAnsi="Times New Roman"/>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Banc of California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Natixis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Unsecured Notes Due July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Unsecured Notes Due October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Unsecured Note Due August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184,080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923" w:type="dxa"/>
        <w:jc w:val="left"/>
        <w:tblInd w:w="0" w:type="dxa"/>
        <w:tblLayout w:type="fixed"/>
        <w:tblCellMar>
          <w:top w:w="28" w:type="dxa"/>
          <w:left w:w="28" w:type="dxa"/>
          <w:bottom w:w="28" w:type="dxa"/>
          <w:right w:w="28" w:type="dxa"/>
        </w:tblCellMar>
      </w:tblPr>
      <w:tblGrid>
        <w:gridCol w:w="3091"/>
        <w:gridCol w:w="146"/>
        <w:gridCol w:w="211"/>
        <w:gridCol w:w="781"/>
        <w:gridCol w:w="146"/>
        <w:gridCol w:w="146"/>
        <w:gridCol w:w="277"/>
        <w:gridCol w:w="458"/>
        <w:gridCol w:w="146"/>
        <w:gridCol w:w="146"/>
        <w:gridCol w:w="214"/>
        <w:gridCol w:w="686"/>
        <w:gridCol w:w="146"/>
        <w:gridCol w:w="146"/>
        <w:gridCol w:w="211"/>
        <w:gridCol w:w="781"/>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Level 1</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Level 3</w:t>
            </w:r>
            <w:r>
              <w:rPr>
                <w:rFonts w:ascii="Times New Roman" w:hAnsi="Times New Roman"/>
                <w:b/>
                <w:color w:val="000000"/>
                <w:sz w:val="13"/>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Banc of California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BNP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Unsecured Notes Due February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Unsecured Notes Due July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Unsecured Notes Due October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Unsecured Note Due August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219,739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40"/>
        <w:jc w:val="left"/>
        <w:rPr>
          <w:rFonts w:ascii="Times New Roman" w:hAnsi="Times New Roman"/>
          <w:color w:val="000000"/>
          <w:sz w:val="20"/>
        </w:rPr>
      </w:pPr>
      <w:r>
        <w:rPr>
          <w:rFonts w:ascii="Times New Roman" w:hAnsi="Times New Roman"/>
          <w:color w:val="000000"/>
          <w:sz w:val="20"/>
        </w:rPr>
        <w:t>For Level 1 measurements, fair value is estimated by using the closing price of the security on The Nasdaq Global Select Market.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For Level 3 measurements, fair value is estimated through discounting remaining payments using current market rates for similar instruments at the measurement date through the legal maturity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color w:val="000000"/>
          <w:sz w:val="20"/>
        </w:rPr>
      </w:pPr>
      <w:r>
        <w:rPr>
          <w:rFonts w:ascii="Times New Roman" w:hAnsi="Times New Roman"/>
          <w:color w:val="000000"/>
          <w:sz w:val="20"/>
        </w:rPr>
        <w:t>Notes to Consolidated Financial Statements (unaudited)</w:t>
      </w:r>
    </w:p>
    <w:p>
      <w:pPr>
        <w:pStyle w:val="TextBody"/>
        <w:bidi w:val="0"/>
        <w:jc w:val="left"/>
        <w:rPr>
          <w:rFonts w:ascii="Times New Roman" w:hAnsi="Times New Roman"/>
          <w:color w:val="000000"/>
          <w:sz w:val="20"/>
        </w:rPr>
      </w:pPr>
      <w:r>
        <w:rPr>
          <w:rFonts w:ascii="Times New Roman" w:hAnsi="Times New Roman"/>
          <w:color w:val="000000"/>
          <w:sz w:val="20"/>
        </w:rPr>
        <w:t>(Dollar amounts in thousands, except per share data)</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6. Commitments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the Company’s outstanding commitments to fund investments to portfolio companies as of June 30, 2026:</w:t>
      </w:r>
    </w:p>
    <w:p>
      <w:pPr>
        <w:pStyle w:val="TextBody"/>
        <w:bidi w:val="0"/>
        <w:jc w:val="left"/>
        <w:rPr/>
      </w:pPr>
      <w:r>
        <w:rPr/>
        <w:t> </w:t>
      </w:r>
    </w:p>
    <w:tbl>
      <w:tblPr>
        <w:tblW w:w="7146" w:type="dxa"/>
        <w:jc w:val="left"/>
        <w:tblInd w:w="0" w:type="dxa"/>
        <w:tblLayout w:type="fixed"/>
        <w:tblCellMar>
          <w:top w:w="28" w:type="dxa"/>
          <w:left w:w="28" w:type="dxa"/>
          <w:bottom w:w="28" w:type="dxa"/>
          <w:right w:w="28" w:type="dxa"/>
        </w:tblCellMar>
      </w:tblPr>
      <w:tblGrid>
        <w:gridCol w:w="2821"/>
        <w:gridCol w:w="146"/>
        <w:gridCol w:w="2626"/>
        <w:gridCol w:w="146"/>
        <w:gridCol w:w="328"/>
        <w:gridCol w:w="888"/>
        <w:gridCol w:w="19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Commitment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Boca Home Care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Clevertech Bidco,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 Associates,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 Associates,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Honor HN Buyer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Honor HN Buyer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 Love Produce,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 Love Produce,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Integrated Energy Services,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Integrated Energy Services,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Medrina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MP Design,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PSB Group,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 Acquisition,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SSJA Bariatric Management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(Delayed Draw)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Tolemar Acquisition,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accordance with ASC 820, the Company considers undrawn amounts in the determination of fair value on its revolving lines of credit and delayed draw term loans. As of June 30, 2026, the Company had cash and cash equivalents of $3,982 and an unused commitment of $15,000 under its Banc of California Credit Facility and $43,200 under its Natixis Facility, each of which is subject to the terms of the borrowing base and other covenants, to fund these outstanding commitments to portfolio companies.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shows the Company’s outstanding commitments to fund investments to portfolio companies as of December 31, 2025:</w:t>
      </w:r>
    </w:p>
    <w:tbl>
      <w:tblPr>
        <w:tblW w:w="8616" w:type="dxa"/>
        <w:jc w:val="left"/>
        <w:tblInd w:w="0" w:type="dxa"/>
        <w:tblLayout w:type="fixed"/>
        <w:tblCellMar>
          <w:top w:w="28" w:type="dxa"/>
          <w:left w:w="28" w:type="dxa"/>
          <w:bottom w:w="28" w:type="dxa"/>
          <w:right w:w="28" w:type="dxa"/>
        </w:tblCellMar>
      </w:tblPr>
      <w:tblGrid>
        <w:gridCol w:w="4291"/>
        <w:gridCol w:w="146"/>
        <w:gridCol w:w="2626"/>
        <w:gridCol w:w="146"/>
        <w:gridCol w:w="289"/>
        <w:gridCol w:w="927"/>
        <w:gridCol w:w="19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Portfolio 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Commitment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 Interactive, LLC (D/B/A PerkSpot)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(Revolver)</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19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Associated Spring,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Avison Young Inc.</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(Delayed Draw)</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9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Boca Home Care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Clevertech Bidco, LLC</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(Revolver)</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9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Envocore Holding, LLC (F/K/A LRI Holding,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Honor HN Buyer Inc.</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(Revolver)</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9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Honor HN Buyer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Integrated Energy Services, LLC</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(Delayed Draw)</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9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Integrated Energy Services,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Medrina LLC</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(Revolver)</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9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PSB Group,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 Acquisition, LLC</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(Revolver)</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w:t>
            </w:r>
          </w:p>
        </w:tc>
        <w:tc>
          <w:tcPr>
            <w:tcW w:w="19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SSJA Bariatric Management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(Delayed Draw)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Tolemar Acquisition, Inc.</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 (Revolver)</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w:t>
            </w:r>
          </w:p>
        </w:tc>
        <w:tc>
          <w:tcPr>
            <w:tcW w:w="191" w:type="dxa"/>
            <w:tcBorders>
              <w:bottom w:val="single" w:sz="4"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Legal and regulatory proceedings: </w:t>
      </w:r>
      <w:r>
        <w:rPr>
          <w:rFonts w:ascii="Times New Roman" w:hAnsi="Times New Roman"/>
          <w:color w:val="000000"/>
          <w:sz w:val="20"/>
        </w:rPr>
        <w:t>From time to time, the Company is involved in legal proceedings in the normal course of its business. Although the outcome of such litigation cannot be predicted with any certainty, management is of the opinion, based on the advice of legal counsel, that final disposition of any litigation should not have a material adverse effect on the financial position of the Company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Company is subject to periodic inspection by regulators to assess compliance with applicable BDC regulations.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color w:val="000000"/>
          <w:sz w:val="20"/>
        </w:rPr>
      </w:pPr>
      <w:r>
        <w:rPr>
          <w:rFonts w:ascii="Times New Roman" w:hAnsi="Times New Roman"/>
          <w:color w:val="000000"/>
          <w:sz w:val="20"/>
        </w:rPr>
        <w:t>Notes to Consolidated Financial Statements (unaudited)</w:t>
      </w:r>
    </w:p>
    <w:p>
      <w:pPr>
        <w:pStyle w:val="TextBody"/>
        <w:bidi w:val="0"/>
        <w:jc w:val="left"/>
        <w:rPr>
          <w:rFonts w:ascii="Times New Roman" w:hAnsi="Times New Roman"/>
          <w:color w:val="000000"/>
          <w:sz w:val="20"/>
        </w:rPr>
      </w:pPr>
      <w:r>
        <w:rPr>
          <w:rFonts w:ascii="Times New Roman" w:hAnsi="Times New Roman"/>
          <w:color w:val="000000"/>
          <w:sz w:val="20"/>
        </w:rPr>
        <w:t>(Dollar amounts in thousands, except per share data)</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Indemnifications: </w:t>
      </w:r>
      <w:r>
        <w:rPr>
          <w:rFonts w:ascii="Times New Roman" w:hAnsi="Times New Roman"/>
          <w:color w:val="000000"/>
          <w:sz w:val="20"/>
        </w:rPr>
        <w:t xml:space="preserve">In the normal course of business, the Company enters into contracts and agreements that contain a variety of representations and warranties that provide for general indemnification. The Company’s maximum exposure under these arrangements is unknown, as this would involve future claims that may be made against the Company that have not yet occurred. The Company believes the risk of any material obligation under these indemnifications to be low.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Note 7. Borrowings</w:t>
      </w:r>
    </w:p>
    <w:p>
      <w:pPr>
        <w:pStyle w:val="TextBody"/>
        <w:bidi w:val="0"/>
        <w:spacing w:before="0" w:after="80"/>
        <w:jc w:val="left"/>
        <w:rPr>
          <w:rFonts w:ascii="Times New Roman" w:hAnsi="Times New Roman"/>
          <w:sz w:val="20"/>
        </w:rPr>
      </w:pPr>
      <w:r>
        <w:rPr>
          <w:rFonts w:ascii="Times New Roman" w:hAnsi="Times New Roman"/>
          <w:b/>
          <w:color w:val="000000"/>
          <w:sz w:val="20"/>
        </w:rPr>
        <w:t xml:space="preserve">Natixis Facility: </w:t>
      </w:r>
      <w:r>
        <w:rPr>
          <w:rFonts w:ascii="Times New Roman" w:hAnsi="Times New Roman"/>
          <w:color w:val="000000"/>
          <w:sz w:val="20"/>
        </w:rPr>
        <w:t>On February 18, 2026, OFSCC-FS entered into the Natixis Facility, which provides for borrowings in an aggregate principal amount up to $80,000. Borrowings under the Natixis Facility bear interest at a rate based on SOFR plus a margin of 2.35%. The Natixis Facility also includes a fee of 0.40% on the unused amount of the facility, as well as an arranger fee of 0.20% on the total commitment amount of the facility. The reinvestment period during which OFSCC-FS is permitted to borrow terminates on February 18, 2029, and the facility is scheduled to mature on February 18, 2031.</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 xml:space="preserve">As of June 30, 2026, the Natixis Facility had outstanding debt of $36,800, the unused commitment under the Natixis Facility was $43,200, subject to a borrowing base and other covenants, and the stated interest rate on the Natixis Facility was 6.08%.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Borrowings under the Natixis Facility are secured by substantially all of the assets held by OFSCC-FS, which were $107,029 at June 30, 2026. The Company’s use of cash and cash equivalents held by OFSCC-FS is limited by the terms and conditions of the Natixis Facility, including but not limited to, the payment of interest expense and principal on the outstanding borrowings. As of June 30, 2026 and December 31, 2025, OFSCC-FS had cash and cash equivalents of $2,869 and $2,443, respectively. OFSCC-FS and the Company have each made customary representations and warranties under the Natixis Facility and are required to comply with various covenants, reporting requirements and other customary requirements for similar credit facilities.</w:t>
      </w:r>
    </w:p>
    <w:p>
      <w:pPr>
        <w:pStyle w:val="TextBody"/>
        <w:bidi w:val="0"/>
        <w:spacing w:before="80" w:after="80"/>
        <w:jc w:val="left"/>
        <w:rPr>
          <w:rFonts w:ascii="Times New Roman" w:hAnsi="Times New Roman"/>
          <w:color w:val="000000"/>
          <w:sz w:val="20"/>
        </w:rPr>
      </w:pPr>
      <w:r>
        <w:rPr>
          <w:rFonts w:ascii="Times New Roman" w:hAnsi="Times New Roman"/>
          <w:color w:val="000000"/>
          <w:sz w:val="20"/>
        </w:rPr>
        <w:t>For the three and six months ended June 30, 2026 and 2025, the components of interest expense, cash paid for interest, effective interest rates and average outstanding balances for the Natixis Facility were as follows:</w:t>
      </w:r>
    </w:p>
    <w:tbl>
      <w:tblPr>
        <w:tblW w:w="9447" w:type="dxa"/>
        <w:jc w:val="left"/>
        <w:tblInd w:w="0" w:type="dxa"/>
        <w:tblLayout w:type="fixed"/>
        <w:tblCellMar>
          <w:top w:w="28" w:type="dxa"/>
          <w:left w:w="28" w:type="dxa"/>
          <w:bottom w:w="28" w:type="dxa"/>
          <w:right w:w="28" w:type="dxa"/>
        </w:tblCellMar>
      </w:tblPr>
      <w:tblGrid>
        <w:gridCol w:w="3426"/>
        <w:gridCol w:w="146"/>
        <w:gridCol w:w="288"/>
        <w:gridCol w:w="924"/>
        <w:gridCol w:w="452"/>
        <w:gridCol w:w="199"/>
        <w:gridCol w:w="288"/>
        <w:gridCol w:w="472"/>
        <w:gridCol w:w="331"/>
        <w:gridCol w:w="146"/>
        <w:gridCol w:w="262"/>
        <w:gridCol w:w="839"/>
        <w:gridCol w:w="411"/>
        <w:gridCol w:w="181"/>
        <w:gridCol w:w="262"/>
        <w:gridCol w:w="429"/>
        <w:gridCol w:w="391"/>
      </w:tblGrid>
      <w:tr>
        <w:trPr/>
        <w:tc>
          <w:tcPr>
            <w:tcW w:w="3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Stated interest expense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interest and debt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outstanding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47,682</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20"/>
        </w:rPr>
      </w:pPr>
      <w:r>
        <w:rPr>
          <w:rFonts w:ascii="Times New Roman" w:hAnsi="Times New Roman"/>
          <w:color w:val="000000"/>
          <w:sz w:val="20"/>
        </w:rPr>
        <w:t>(1) Stated interest expense includes unused fees.</w:t>
      </w:r>
    </w:p>
    <w:p>
      <w:pPr>
        <w:pStyle w:val="TextBody"/>
        <w:bidi w:val="0"/>
        <w:spacing w:before="120" w:after="283"/>
        <w:jc w:val="left"/>
        <w:rPr>
          <w:rFonts w:ascii="Times New Roman" w:hAnsi="Times New Roman"/>
          <w:sz w:val="20"/>
        </w:rPr>
      </w:pPr>
      <w:r>
        <w:rPr>
          <w:rFonts w:ascii="Times New Roman" w:hAnsi="Times New Roman"/>
          <w:b/>
          <w:color w:val="000000"/>
          <w:sz w:val="20"/>
        </w:rPr>
        <w:t>BNP Facility:</w:t>
      </w:r>
      <w:r>
        <w:rPr>
          <w:rFonts w:ascii="Times New Roman" w:hAnsi="Times New Roman"/>
          <w:color w:val="000000"/>
          <w:sz w:val="20"/>
        </w:rPr>
        <w:t xml:space="preserve"> OFSCC-FS was party to the BNP Facility, which provided for borrowings in an aggregate principal amount up to $80,000 during its reinvestment period. Borrowings under the BNP Facility bore interest at a variable rate of SOFR plus a variable margin (2.65% floor), which was determined on the basis of industry-recognized portfolio company metrics at the time of funding.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18, 2026, in connection with the closing of the Natixis Facility, OFSCC-FS repaid in full all outstanding obligations due, and terminated all commitments, under the BNP Facility. All liens securing the BNP Facility were released upon such repayment. In connection with the termination of the facility, the Company recognized a loss on extinguishment of debt of $89 related to the acceleration of deferred financing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the BNP Facility had outstanding debt of $0 and $50,950, respectively.</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For the three and six months ended June 30, 2026 and 2025, the components of interest expense, cash paid for interest, average interest rates and average outstanding balances for the BNP Facility were as follows:</w:t>
      </w:r>
    </w:p>
    <w:tbl>
      <w:tblPr>
        <w:tblW w:w="9445" w:type="dxa"/>
        <w:jc w:val="left"/>
        <w:tblInd w:w="0" w:type="dxa"/>
        <w:tblLayout w:type="fixed"/>
        <w:tblCellMar>
          <w:top w:w="28" w:type="dxa"/>
          <w:left w:w="28" w:type="dxa"/>
          <w:bottom w:w="28" w:type="dxa"/>
          <w:right w:w="28" w:type="dxa"/>
        </w:tblCellMar>
      </w:tblPr>
      <w:tblGrid>
        <w:gridCol w:w="3426"/>
        <w:gridCol w:w="146"/>
        <w:gridCol w:w="288"/>
        <w:gridCol w:w="472"/>
        <w:gridCol w:w="452"/>
        <w:gridCol w:w="199"/>
        <w:gridCol w:w="288"/>
        <w:gridCol w:w="924"/>
        <w:gridCol w:w="331"/>
        <w:gridCol w:w="146"/>
        <w:gridCol w:w="223"/>
        <w:gridCol w:w="716"/>
        <w:gridCol w:w="350"/>
        <w:gridCol w:w="154"/>
        <w:gridCol w:w="223"/>
        <w:gridCol w:w="716"/>
        <w:gridCol w:w="391"/>
      </w:tblGrid>
      <w:tr>
        <w:trPr/>
        <w:tc>
          <w:tcPr>
            <w:tcW w:w="3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Stated interest expense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interest and debt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outstanding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67,169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13,427</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80"/>
        <w:jc w:val="left"/>
        <w:rPr>
          <w:rFonts w:ascii="Times New Roman" w:hAnsi="Times New Roman"/>
          <w:color w:val="000000"/>
          <w:sz w:val="20"/>
        </w:rPr>
      </w:pPr>
      <w:r>
        <w:rPr>
          <w:rFonts w:ascii="Times New Roman" w:hAnsi="Times New Roman"/>
          <w:color w:val="000000"/>
          <w:sz w:val="20"/>
        </w:rPr>
        <w:t>(1) For the three and six months ended June 30, 2025, stated interest expense includes unused fees.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color w:val="000000"/>
          <w:sz w:val="20"/>
        </w:rPr>
      </w:pPr>
      <w:r>
        <w:rPr>
          <w:rFonts w:ascii="Times New Roman" w:hAnsi="Times New Roman"/>
          <w:color w:val="000000"/>
          <w:sz w:val="20"/>
        </w:rPr>
        <w:t>Notes to Consolidated Financial Statements (unaudited)</w:t>
      </w:r>
    </w:p>
    <w:p>
      <w:pPr>
        <w:pStyle w:val="TextBody"/>
        <w:bidi w:val="0"/>
        <w:jc w:val="left"/>
        <w:rPr>
          <w:rFonts w:ascii="Times New Roman" w:hAnsi="Times New Roman"/>
          <w:color w:val="000000"/>
          <w:sz w:val="20"/>
        </w:rPr>
      </w:pPr>
      <w:r>
        <w:rPr>
          <w:rFonts w:ascii="Times New Roman" w:hAnsi="Times New Roman"/>
          <w:color w:val="000000"/>
          <w:sz w:val="20"/>
        </w:rPr>
        <w:t>(Dollar amounts in thousands, except per share data)</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Banc of California Credit Facility:</w:t>
      </w:r>
      <w:r>
        <w:rPr>
          <w:rFonts w:ascii="Times New Roman" w:hAnsi="Times New Roman"/>
          <w:color w:val="000000"/>
          <w:sz w:val="20"/>
        </w:rPr>
        <w:t xml:space="preserve"> On March 7, 2018, the Company entered into the Banc of California Credit Facility. The Banc of California Credit Facility currently bears interest at a variable rate of the Prime Rate plus a 0.25% margin, with a 5.00% floor, and includes an annual commitment fee of 0.50% of the maximum commitment amount. The Banc of California Credit Facility is scheduled to mature on February 28,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9, 2026, the Company amended the Banc of California Credit Facility to extend the maturity date from February 28, 2026 to February 28,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27, 2026, the Company amended the Banc of California Credit Facility to, among other things: (i) reduce the minimum tangible net asset value covenant from $100,000 to $75,000; (ii) reduce the covenant requiring minimum quarterly net investment income after management/incentive fees from $2,000 to $1,000 for each of the quarters ending March 31, 2026, June 30, 2026 and September 30, 2026, after which the minimum quarterly net investment income after management/incentive fees covenant shall return to $2,000; and (iii) decrease the Company’s maximum commitment amount from $25,000 to $15,000. In connection with the maximum commitment reduction from $25,000 to $15,000, the Company recognized a loss on extinguishment of debt of $41 related to the acceleration of deferred financing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the Company had outstanding debt under the Banc of California Credit Facility of $0 and $4,500, respectively. As of June 30, 2026, the unused commitment under the Banc of California Credit Facility was $15,000, subject to the terms of the borrowing base and other covenants. As of June 30, 2026, the stated interest rate on the Banc of California Credit Facility was 7.00%.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maximum availability of the Banc of California Credit Facility is equal to 50% of the aggregate outstanding principal amount of eligible loans included in the borrowing base, which typically excludes Structured Finance Securities, foreign loans, and non-performing loans, and as otherwise specified in the BLA. The Banc of California Credit Facility is guaranteed by OFSCC-MB and secured by all of our and OFSCC-MB’s current and future assets, excluding assets held by OFSCC-FS, and the Company’s partnership interests in SBIC I LP. The Company has made customary representations and warranties and is required to comply with various covenants, reporting requirements and other customary requirements for similar credit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 2026 and 2025, the components of interest expense, cash paid for interest, average interest rates and average outstanding balances for the Banc of California Credit Facility were as follows:</w:t>
      </w:r>
    </w:p>
    <w:p>
      <w:pPr>
        <w:pStyle w:val="TextBody"/>
        <w:bidi w:val="0"/>
        <w:jc w:val="left"/>
        <w:rPr/>
      </w:pPr>
      <w:r>
        <w:rPr/>
        <w:t> </w:t>
      </w:r>
    </w:p>
    <w:tbl>
      <w:tblPr>
        <w:tblW w:w="9259" w:type="dxa"/>
        <w:jc w:val="left"/>
        <w:tblInd w:w="0" w:type="dxa"/>
        <w:tblLayout w:type="fixed"/>
        <w:tblCellMar>
          <w:top w:w="28" w:type="dxa"/>
          <w:left w:w="28" w:type="dxa"/>
          <w:bottom w:w="28" w:type="dxa"/>
          <w:right w:w="28" w:type="dxa"/>
        </w:tblCellMar>
      </w:tblPr>
      <w:tblGrid>
        <w:gridCol w:w="3426"/>
        <w:gridCol w:w="146"/>
        <w:gridCol w:w="271"/>
        <w:gridCol w:w="734"/>
        <w:gridCol w:w="425"/>
        <w:gridCol w:w="187"/>
        <w:gridCol w:w="271"/>
        <w:gridCol w:w="734"/>
        <w:gridCol w:w="146"/>
        <w:gridCol w:w="146"/>
        <w:gridCol w:w="246"/>
        <w:gridCol w:w="667"/>
        <w:gridCol w:w="386"/>
        <w:gridCol w:w="170"/>
        <w:gridCol w:w="246"/>
        <w:gridCol w:w="667"/>
        <w:gridCol w:w="391"/>
      </w:tblGrid>
      <w:tr>
        <w:trPr/>
        <w:tc>
          <w:tcPr>
            <w:tcW w:w="3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Stated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interest and debt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Effective interest rate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outstanding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5,309</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6,469</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Not meaningful due to a minimal average outstanding balance relative to the size of the total commitment and the amount of commitment fees incurred during the periods.</w:t>
      </w:r>
    </w:p>
    <w:p>
      <w:pPr>
        <w:pStyle w:val="TextBody"/>
        <w:bidi w:val="0"/>
        <w:spacing w:before="120" w:after="283"/>
        <w:jc w:val="left"/>
        <w:rPr>
          <w:rFonts w:ascii="Times New Roman" w:hAnsi="Times New Roman"/>
          <w:sz w:val="20"/>
        </w:rPr>
      </w:pPr>
      <w:r>
        <w:rPr>
          <w:rFonts w:ascii="Times New Roman" w:hAnsi="Times New Roman"/>
          <w:b/>
          <w:color w:val="000000"/>
          <w:sz w:val="20"/>
        </w:rPr>
        <w:t>Unsecured Notes</w:t>
      </w:r>
      <w:r>
        <w:rPr>
          <w:rFonts w:ascii="Times New Roman" w:hAnsi="Times New Roman"/>
          <w:color w:val="000000"/>
          <w:sz w:val="20"/>
        </w:rPr>
        <w:t xml:space="preserve">: As of June 30, 2026 and December 31, 2025, the Company had $149,000 and $165,000, respectively, in aggregate principal of outstanding Unsecured Notes. </w:t>
      </w:r>
    </w:p>
    <w:p>
      <w:pPr>
        <w:pStyle w:val="TextBody"/>
        <w:bidi w:val="0"/>
        <w:spacing w:before="120" w:after="283"/>
        <w:jc w:val="left"/>
        <w:rPr>
          <w:rFonts w:ascii="Times New Roman" w:hAnsi="Times New Roman"/>
          <w:sz w:val="20"/>
        </w:rPr>
      </w:pPr>
      <w:r>
        <w:rPr>
          <w:rFonts w:ascii="Times New Roman" w:hAnsi="Times New Roman"/>
          <w:b/>
          <w:i/>
          <w:color w:val="000000"/>
          <w:sz w:val="20"/>
        </w:rPr>
        <w:t>Unsecured Notes Due October 2028 (Nasdaq: OFSSH)</w:t>
      </w:r>
      <w:r>
        <w:rPr>
          <w:rFonts w:ascii="Times New Roman" w:hAnsi="Times New Roman"/>
          <w:color w:val="000000"/>
          <w:sz w:val="20"/>
        </w:rPr>
        <w:t>: On October 28, 2021 and November 1, 2021, the Company issued $55,000 in aggregate principal of unsecured notes. The Unsecured Notes Due October 2028 bear interest at a rate of 4.95% per year payable semi-annually and mature on October 31, 2028. The Company may redeem the Unsecured Notes Due October 2028 in whole or in part at any time.</w:t>
      </w:r>
    </w:p>
    <w:p>
      <w:pPr>
        <w:pStyle w:val="TextBody"/>
        <w:bidi w:val="0"/>
        <w:spacing w:before="120" w:after="283"/>
        <w:jc w:val="left"/>
        <w:rPr>
          <w:rFonts w:ascii="Times New Roman" w:hAnsi="Times New Roman"/>
          <w:sz w:val="20"/>
        </w:rPr>
      </w:pPr>
      <w:r>
        <w:rPr>
          <w:rFonts w:ascii="Times New Roman" w:hAnsi="Times New Roman"/>
          <w:b/>
          <w:i/>
          <w:color w:val="000000"/>
          <w:sz w:val="20"/>
        </w:rPr>
        <w:t>Unsecured Notes Due July 2028 (Nasdaq: OFSSO)</w:t>
      </w:r>
      <w:r>
        <w:rPr>
          <w:rFonts w:ascii="Times New Roman" w:hAnsi="Times New Roman"/>
          <w:color w:val="000000"/>
          <w:sz w:val="20"/>
        </w:rPr>
        <w:t>: On July 23, 2025, the Company closed the public offering of $69,000 aggregate principal amount of its Unsecured Notes Due July 2028, which included $9,000 of aggregate principal amount related to the underwriters’ option to cover overallotments. The net proceeds to the Company from the Unsecured Notes Due July 2028, after deducting underwriting fees of $1,380 and offering expenses of $326, was $67,294. The Unsecured Notes Due July 2028 bear interest at a stated rate of 7.50% and will mature on July 31, 2028. The Company may redeem the Unsecured Notes Due July 2028 in whole or in part at any time, or from time to time, on or after July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color w:val="000000"/>
          <w:sz w:val="20"/>
        </w:rPr>
      </w:pPr>
      <w:r>
        <w:rPr>
          <w:rFonts w:ascii="Times New Roman" w:hAnsi="Times New Roman"/>
          <w:color w:val="000000"/>
          <w:sz w:val="20"/>
        </w:rPr>
        <w:t>Notes to Consolidated Financial Statements (unaudited)</w:t>
      </w:r>
    </w:p>
    <w:p>
      <w:pPr>
        <w:pStyle w:val="TextBody"/>
        <w:bidi w:val="0"/>
        <w:jc w:val="left"/>
        <w:rPr>
          <w:rFonts w:ascii="Times New Roman" w:hAnsi="Times New Roman"/>
          <w:color w:val="000000"/>
          <w:sz w:val="20"/>
        </w:rPr>
      </w:pPr>
      <w:r>
        <w:rPr>
          <w:rFonts w:ascii="Times New Roman" w:hAnsi="Times New Roman"/>
          <w:color w:val="000000"/>
          <w:sz w:val="20"/>
        </w:rPr>
        <w:t>(Dollar amounts in thousands, except per share data)</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indenture governing the Unsecured Notes Due July 2028 and Unsecured Notes Due October 2028 contains certain covenants, including: (i) prohibiting additional borrowings, including through the issuance of additional debt securities, unless the Company's asset coverage, as defined in the 1940 Act, after giving effect to any exemptive relief granted to the Company by the SEC, equals at least 150% after such borrowings; and (ii) prohibiting (a) the declaration of any cash dividend or distribution upon any class of the Company’s capital stock (except to the extent necessary for the Company to maintain its treatment as a RIC under Subchapter M of the Code), or (b) the purchase of any capital stock unless the Company’s asset coverage, as defined in the 1940 Act, is at least 150% at the time of such capital transaction and after deducting the amount of such transaction.</w:t>
      </w:r>
    </w:p>
    <w:p>
      <w:pPr>
        <w:pStyle w:val="TextBody"/>
        <w:bidi w:val="0"/>
        <w:spacing w:before="120" w:after="283"/>
        <w:jc w:val="left"/>
        <w:rPr>
          <w:rFonts w:ascii="Times New Roman" w:hAnsi="Times New Roman"/>
          <w:sz w:val="20"/>
        </w:rPr>
      </w:pPr>
      <w:r>
        <w:rPr>
          <w:rFonts w:ascii="Times New Roman" w:hAnsi="Times New Roman"/>
          <w:b/>
          <w:i/>
          <w:color w:val="000000"/>
          <w:sz w:val="20"/>
        </w:rPr>
        <w:t>Unsecured Note Due August 2029</w:t>
      </w:r>
      <w:r>
        <w:rPr>
          <w:rFonts w:ascii="Times New Roman" w:hAnsi="Times New Roman"/>
          <w:color w:val="000000"/>
          <w:sz w:val="20"/>
        </w:rPr>
        <w:t>: On August 8, 2025, the Company entered into the Securities Purchase Agreement, pursuant to which the Company sold in a private placement a $25,000 principal amount Unsecured Note Due August 2029. The net proceeds to the Company from the Unsecured Note Due August 2029, after deducting discounts of $750 and offering expenses of $48, was $24,202. The Unsecured Note Due August 2029 bears interest at a stated rate of 8.00% and will mature on August 8, 2029. The Company may redeem the Unsecured Note Due August 2029 in whole or in part at any time. The Securities Purchase Agreement contains customary terms and conditions for unsecured notes issued in a private placement, including, without limitation, affirmative and negative covenants such as information reporting, maintenance of the Company’s status as a BDC within the meaning of the 1940 Act and minimum asset coverage ratio.</w:t>
      </w:r>
    </w:p>
    <w:p>
      <w:pPr>
        <w:pStyle w:val="TextBody"/>
        <w:bidi w:val="0"/>
        <w:spacing w:before="120" w:after="283"/>
        <w:jc w:val="left"/>
        <w:rPr>
          <w:rFonts w:ascii="Times New Roman" w:hAnsi="Times New Roman"/>
          <w:sz w:val="20"/>
        </w:rPr>
      </w:pPr>
      <w:r>
        <w:rPr>
          <w:rFonts w:ascii="Times New Roman" w:hAnsi="Times New Roman"/>
          <w:b/>
          <w:i/>
          <w:color w:val="000000"/>
          <w:sz w:val="20"/>
        </w:rPr>
        <w:t>Unsecured Notes Due February 2026</w:t>
      </w:r>
      <w:r>
        <w:rPr>
          <w:rFonts w:ascii="Times New Roman" w:hAnsi="Times New Roman"/>
          <w:color w:val="000000"/>
          <w:sz w:val="20"/>
        </w:rPr>
        <w:t>: On February 10, 2021 and March 18, 2021, the Company issued $125,000 in aggregate principal of unsecured notes. The Unsecured Notes Due February 2026 bore interest at a rate of 4.75% per year and were scheduled to mature on February 10,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8, 2026, the Company issued notices to the holders of the Unsecured Notes Due February 2026 regarding the exercise of its option to redeem on February 9, 2026 $16,000, which was equal to the remainder of the outstanding Unsecured Notes Due February 2026, plus accrued interest of $378.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had no outstanding Unsecured Notes Due February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Unsecured Notes are direct unsecured obligations and rank equal in right of payment with all current and future unsecured indebtedness of the Company. Because the Unsecured Notes are not secured by any of the Company’s assets, they are effectively subordinated to all existing and future secured unsubordinated indebtedness (or any indebtedness that is initially unsecured as to which the Company subsequently grants a security interest), to the extent of the value of the assets securing such indebtedness, including, without limitation, borrowings under the Banc of California Credit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 2026 and 2025, the components of interest expense, cash paid for interest, average interest rates and average outstanding balances for the Unsecured Notes were as follows:</w:t>
      </w:r>
    </w:p>
    <w:p>
      <w:pPr>
        <w:pStyle w:val="TextBody"/>
        <w:bidi w:val="0"/>
        <w:jc w:val="left"/>
        <w:rPr/>
      </w:pPr>
      <w:r>
        <w:rPr/>
        <w:t> </w:t>
      </w:r>
    </w:p>
    <w:tbl>
      <w:tblPr>
        <w:tblW w:w="9405" w:type="dxa"/>
        <w:jc w:val="left"/>
        <w:tblInd w:w="0" w:type="dxa"/>
        <w:tblLayout w:type="fixed"/>
        <w:tblCellMar>
          <w:top w:w="28" w:type="dxa"/>
          <w:left w:w="28" w:type="dxa"/>
          <w:bottom w:w="28" w:type="dxa"/>
          <w:right w:w="28" w:type="dxa"/>
        </w:tblCellMar>
      </w:tblPr>
      <w:tblGrid>
        <w:gridCol w:w="3426"/>
        <w:gridCol w:w="146"/>
        <w:gridCol w:w="225"/>
        <w:gridCol w:w="833"/>
        <w:gridCol w:w="353"/>
        <w:gridCol w:w="155"/>
        <w:gridCol w:w="225"/>
        <w:gridCol w:w="833"/>
        <w:gridCol w:w="271"/>
        <w:gridCol w:w="146"/>
        <w:gridCol w:w="211"/>
        <w:gridCol w:w="781"/>
        <w:gridCol w:w="271"/>
        <w:gridCol w:w="146"/>
        <w:gridCol w:w="211"/>
        <w:gridCol w:w="781"/>
        <w:gridCol w:w="391"/>
      </w:tblGrid>
      <w:tr>
        <w:trPr/>
        <w:tc>
          <w:tcPr>
            <w:tcW w:w="3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Stated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interest and debt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outstanding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149,000</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shows the scheduled maturities of the principal balances of the Company’s outstanding borrowings as of June 30, 2026:</w:t>
      </w:r>
    </w:p>
    <w:p>
      <w:pPr>
        <w:pStyle w:val="TextBody"/>
        <w:bidi w:val="0"/>
        <w:jc w:val="left"/>
        <w:rPr/>
      </w:pPr>
      <w:r>
        <w:rPr/>
        <w:t> </w:t>
      </w:r>
    </w:p>
    <w:tbl>
      <w:tblPr>
        <w:tblW w:w="9773" w:type="dxa"/>
        <w:jc w:val="left"/>
        <w:tblInd w:w="0" w:type="dxa"/>
        <w:tblLayout w:type="fixed"/>
        <w:tblCellMar>
          <w:top w:w="28" w:type="dxa"/>
          <w:left w:w="28" w:type="dxa"/>
          <w:bottom w:w="28" w:type="dxa"/>
          <w:right w:w="28" w:type="dxa"/>
        </w:tblCellMar>
      </w:tblPr>
      <w:tblGrid>
        <w:gridCol w:w="3016"/>
        <w:gridCol w:w="146"/>
        <w:gridCol w:w="211"/>
        <w:gridCol w:w="781"/>
        <w:gridCol w:w="146"/>
        <w:gridCol w:w="146"/>
        <w:gridCol w:w="341"/>
        <w:gridCol w:w="559"/>
        <w:gridCol w:w="146"/>
        <w:gridCol w:w="146"/>
        <w:gridCol w:w="229"/>
        <w:gridCol w:w="851"/>
        <w:gridCol w:w="146"/>
        <w:gridCol w:w="146"/>
        <w:gridCol w:w="257"/>
        <w:gridCol w:w="823"/>
        <w:gridCol w:w="146"/>
        <w:gridCol w:w="146"/>
        <w:gridCol w:w="454"/>
        <w:gridCol w:w="746"/>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Payments due by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 to 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 to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After 5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Banc of California Credit Facility</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Natixis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Unsecured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As of June 30, 2026, the Banc of California Credit Facility had no outstanding balance and is scheduled to mature on February 28, 2028.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color w:val="000000"/>
          <w:sz w:val="20"/>
        </w:rPr>
      </w:pPr>
      <w:r>
        <w:rPr>
          <w:rFonts w:ascii="Times New Roman" w:hAnsi="Times New Roman"/>
          <w:color w:val="000000"/>
          <w:sz w:val="20"/>
        </w:rPr>
        <w:t>Notes to Consolidated Financial Statements (unaudited)</w:t>
      </w:r>
    </w:p>
    <w:p>
      <w:pPr>
        <w:pStyle w:val="TextBody"/>
        <w:bidi w:val="0"/>
        <w:jc w:val="left"/>
        <w:rPr>
          <w:rFonts w:ascii="Times New Roman" w:hAnsi="Times New Roman"/>
          <w:color w:val="000000"/>
          <w:sz w:val="20"/>
        </w:rPr>
      </w:pPr>
      <w:r>
        <w:rPr>
          <w:rFonts w:ascii="Times New Roman" w:hAnsi="Times New Roman"/>
          <w:color w:val="000000"/>
          <w:sz w:val="20"/>
        </w:rPr>
        <w:t>(Dollar amounts in thousands, except per share data)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and six months ended June 30, 2026 and 2025, the average dollar borrowings and weighted average effective interest rate on the Company’s outstanding borrowings were as follows:</w:t>
      </w:r>
    </w:p>
    <w:p>
      <w:pPr>
        <w:pStyle w:val="TextBody"/>
        <w:bidi w:val="0"/>
        <w:jc w:val="left"/>
        <w:rPr/>
      </w:pPr>
      <w:r>
        <w:rPr/>
        <w:t> </w:t>
      </w:r>
    </w:p>
    <w:tbl>
      <w:tblPr>
        <w:tblW w:w="9234" w:type="dxa"/>
        <w:jc w:val="left"/>
        <w:tblInd w:w="0" w:type="dxa"/>
        <w:tblLayout w:type="fixed"/>
        <w:tblCellMar>
          <w:top w:w="28" w:type="dxa"/>
          <w:left w:w="28" w:type="dxa"/>
          <w:bottom w:w="28" w:type="dxa"/>
          <w:right w:w="28" w:type="dxa"/>
        </w:tblCellMar>
      </w:tblPr>
      <w:tblGrid>
        <w:gridCol w:w="3331"/>
        <w:gridCol w:w="146"/>
        <w:gridCol w:w="230"/>
        <w:gridCol w:w="854"/>
        <w:gridCol w:w="296"/>
        <w:gridCol w:w="159"/>
        <w:gridCol w:w="230"/>
        <w:gridCol w:w="854"/>
        <w:gridCol w:w="271"/>
        <w:gridCol w:w="146"/>
        <w:gridCol w:w="211"/>
        <w:gridCol w:w="781"/>
        <w:gridCol w:w="271"/>
        <w:gridCol w:w="146"/>
        <w:gridCol w:w="211"/>
        <w:gridCol w:w="781"/>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dollar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201,991</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248,496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effective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60" w:after="60"/>
        <w:jc w:val="left"/>
        <w:rPr>
          <w:rFonts w:ascii="Times New Roman" w:hAnsi="Times New Roman"/>
          <w:b/>
          <w:color w:val="000000"/>
          <w:sz w:val="20"/>
        </w:rPr>
      </w:pPr>
      <w:r>
        <w:rPr>
          <w:rFonts w:ascii="Times New Roman" w:hAnsi="Times New Roman"/>
          <w:b/>
          <w:color w:val="000000"/>
          <w:sz w:val="20"/>
        </w:rPr>
        <w:t>Note 8. Financial Highlights</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 xml:space="preserve">The following is a schedule of financial highlights for the three and six months ended June 30, 2026 and 2025: </w:t>
      </w:r>
    </w:p>
    <w:tbl>
      <w:tblPr>
        <w:tblW w:w="10205" w:type="dxa"/>
        <w:jc w:val="left"/>
        <w:tblInd w:w="0" w:type="dxa"/>
        <w:tblLayout w:type="fixed"/>
        <w:tblCellMar>
          <w:top w:w="28" w:type="dxa"/>
          <w:left w:w="28" w:type="dxa"/>
          <w:bottom w:w="28" w:type="dxa"/>
          <w:right w:w="28" w:type="dxa"/>
        </w:tblCellMar>
      </w:tblPr>
      <w:tblGrid>
        <w:gridCol w:w="3952"/>
        <w:gridCol w:w="146"/>
        <w:gridCol w:w="196"/>
        <w:gridCol w:w="916"/>
        <w:gridCol w:w="256"/>
        <w:gridCol w:w="146"/>
        <w:gridCol w:w="196"/>
        <w:gridCol w:w="916"/>
        <w:gridCol w:w="286"/>
        <w:gridCol w:w="146"/>
        <w:gridCol w:w="196"/>
        <w:gridCol w:w="916"/>
        <w:gridCol w:w="286"/>
        <w:gridCol w:w="146"/>
        <w:gridCol w:w="196"/>
        <w:gridCol w:w="916"/>
        <w:gridCol w:w="393"/>
      </w:tblGrid>
      <w:tr>
        <w:trPr/>
        <w:tc>
          <w:tcPr>
            <w:tcW w:w="3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Per share operating performance: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asset value per share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Net investment income</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0.50</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Net realized loss on investments, net of taxes</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Net unrealized appreciation (depreciation) on investments, net of deferred taxes</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Loss on extinguishment of debt</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net 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Distributions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asset value per share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 share market value,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8.44</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Total return based on market value</w:t>
            </w:r>
            <w:r>
              <w:rPr>
                <w:rFonts w:ascii="Times New Roman" w:hAnsi="Times New Roman"/>
                <w:color w:val="000000"/>
                <w:sz w:val="12"/>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Total return based on net asset value</w:t>
            </w:r>
            <w:r>
              <w:rPr>
                <w:rFonts w:ascii="Times New Roman" w:hAnsi="Times New Roman"/>
                <w:color w:val="000000"/>
                <w:sz w:val="12"/>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outstanding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13,398,078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13,398,078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13,398,078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13,398,078</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13,398,078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13,398,078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13,398,078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13,398,078</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Ratio/Supplemental Data (dollar 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Average net asset value</w:t>
            </w:r>
            <w:r>
              <w:rPr>
                <w:rFonts w:ascii="Times New Roman" w:hAnsi="Times New Roman"/>
                <w:color w:val="000000"/>
                <w:sz w:val="12"/>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110,966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153,290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115,040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159,601</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asset value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112,612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146,196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112,612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146,196</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6,748</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Ratio of total expenses, net to average net assets</w:t>
            </w:r>
            <w:r>
              <w:rPr>
                <w:rFonts w:ascii="Times New Roman" w:hAnsi="Times New Roman"/>
                <w:color w:val="000000"/>
                <w:sz w:val="12"/>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Ratio of total expenses, net and loss on extinguishment of debt to average net assets</w:t>
            </w:r>
            <w:r>
              <w:rPr>
                <w:rFonts w:ascii="Times New Roman" w:hAnsi="Times New Roman"/>
                <w:color w:val="000000"/>
                <w:sz w:val="12"/>
              </w:rPr>
              <w:t>(6)(8)(10)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Ratio of net investment income to average net assets</w:t>
            </w:r>
            <w:r>
              <w:rPr>
                <w:rFonts w:ascii="Times New Roman" w:hAnsi="Times New Roman"/>
                <w:color w:val="000000"/>
                <w:sz w:val="12"/>
              </w:rPr>
              <w:t>(6)(11)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Ratio of loss on extinguishment of debt to average net assets</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Portfolio turnover</w:t>
            </w:r>
            <w:r>
              <w:rPr>
                <w:rFonts w:ascii="Times New Roman" w:hAnsi="Times New Roman"/>
                <w:color w:val="000000"/>
                <w:sz w:val="12"/>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Calculated on the average share method.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Calculated as ending market value less beginning market value, adjusted for distributions reinvested at prices based on the Company’s DRIP for the respective distributions.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Not annualized.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Calculated as ending net asset value less beginning net asset value, adjusted for distributions reinvested at prices based on the Company’s DRIP for the respective distributions.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Based on the average of the net asset value at the beginning and end of the indicated period and, if applicable, the preceding calendar quarters.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Annualized.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Portfolio turnover rate is calculated using the lesser of period-to-date sales, portfolio investment distributions and principal payments or period-to-date purchases over the average of total investments at fair value.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Calculated as total expenses (annualized) plus the loss on extinguishment of debt, divided by average net assets.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Ratio of total expenses before the base management fee waiver to average net assets was 21.7% and 22.1% for the three and six months ended June 30,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Ratio of total expenses before the base management fee waiver plus the loss on extinguishment of debt to average net assets was 21.7% and 22.2% for the three and six months ended June 30,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jc w:val="left"/>
        <w:rPr>
          <w:rFonts w:ascii="Times New Roman" w:hAnsi="Times New Roman"/>
          <w:color w:val="000000"/>
          <w:sz w:val="20"/>
        </w:rPr>
      </w:pPr>
      <w:r>
        <w:rPr>
          <w:rFonts w:ascii="Times New Roman" w:hAnsi="Times New Roman"/>
          <w:color w:val="000000"/>
          <w:sz w:val="20"/>
        </w:rPr>
        <w:t>Ratio of net investment income before the base management fee waiver to average net assets was 2.9% and 5.3% for the three and six months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color w:val="000000"/>
          <w:sz w:val="20"/>
        </w:rPr>
      </w:pPr>
      <w:r>
        <w:rPr>
          <w:rFonts w:ascii="Times New Roman" w:hAnsi="Times New Roman"/>
          <w:color w:val="000000"/>
          <w:sz w:val="20"/>
        </w:rPr>
        <w:t>Notes to Consolidated Financial Statements (unaudited)</w:t>
      </w:r>
    </w:p>
    <w:p>
      <w:pPr>
        <w:pStyle w:val="TextBody"/>
        <w:bidi w:val="0"/>
        <w:jc w:val="left"/>
        <w:rPr>
          <w:rFonts w:ascii="Times New Roman" w:hAnsi="Times New Roman"/>
          <w:color w:val="000000"/>
          <w:sz w:val="20"/>
        </w:rPr>
      </w:pPr>
      <w:r>
        <w:rPr>
          <w:rFonts w:ascii="Times New Roman" w:hAnsi="Times New Roman"/>
          <w:color w:val="000000"/>
          <w:sz w:val="20"/>
        </w:rPr>
        <w:t>(Dollar amounts in thousands, except per share data)</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9. Capital Transactions</w:t>
      </w:r>
    </w:p>
    <w:p>
      <w:pPr>
        <w:pStyle w:val="TextBody"/>
        <w:bidi w:val="0"/>
        <w:spacing w:before="120" w:after="283"/>
        <w:jc w:val="left"/>
        <w:rPr>
          <w:rFonts w:ascii="Times New Roman" w:hAnsi="Times New Roman"/>
          <w:sz w:val="20"/>
        </w:rPr>
      </w:pPr>
      <w:r>
        <w:rPr>
          <w:rFonts w:ascii="Times New Roman" w:hAnsi="Times New Roman"/>
          <w:b/>
          <w:color w:val="000000"/>
          <w:sz w:val="20"/>
        </w:rPr>
        <w:t>Distributions:</w:t>
      </w:r>
      <w:r>
        <w:rPr>
          <w:rFonts w:ascii="Times New Roman" w:hAnsi="Times New Roman"/>
          <w:color w:val="000000"/>
          <w:sz w:val="20"/>
        </w:rPr>
        <w:t xml:space="preserve"> The Company intends to make quarterly distributions to stockholders, that represent over time, substantially all of its net investment income. In addition, although the Company may distribute at least annually net realized capital gains, net of taxes if any, out of assets legally available for such distribution, the Company may also retain such capital gains for investment through a deemed distribution. If the Company makes a deemed distribution, stockholders will be treated for U.S. federal income tax purposes as if they had received an actual distribution of the capital gains, net of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be limited in its ability to make distributions due to the BDC asset coverage requirements of the 1940 Act. In addition, distributions from OFSCC-FS to the Company are restricted by the terms and conditions of the Natixis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distributions declared and paid for the six months ended June 30, 2026 and 2025:</w:t>
      </w:r>
    </w:p>
    <w:p>
      <w:pPr>
        <w:pStyle w:val="TextBody"/>
        <w:bidi w:val="0"/>
        <w:jc w:val="left"/>
        <w:rPr/>
      </w:pPr>
      <w:r>
        <w:rPr/>
        <w:t> </w:t>
      </w:r>
    </w:p>
    <w:tbl>
      <w:tblPr>
        <w:tblW w:w="8921" w:type="dxa"/>
        <w:jc w:val="left"/>
        <w:tblInd w:w="0" w:type="dxa"/>
        <w:tblLayout w:type="fixed"/>
        <w:tblCellMar>
          <w:top w:w="28" w:type="dxa"/>
          <w:left w:w="28" w:type="dxa"/>
          <w:bottom w:w="28" w:type="dxa"/>
          <w:right w:w="28" w:type="dxa"/>
        </w:tblCellMar>
      </w:tblPr>
      <w:tblGrid>
        <w:gridCol w:w="2866"/>
        <w:gridCol w:w="146"/>
        <w:gridCol w:w="1396"/>
        <w:gridCol w:w="146"/>
        <w:gridCol w:w="1396"/>
        <w:gridCol w:w="146"/>
        <w:gridCol w:w="294"/>
        <w:gridCol w:w="651"/>
        <w:gridCol w:w="146"/>
        <w:gridCol w:w="146"/>
        <w:gridCol w:w="303"/>
        <w:gridCol w:w="823"/>
        <w:gridCol w:w="146"/>
        <w:gridCol w:w="316"/>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Date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Cash</w:t>
              <w:br/>
              <w:t>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19,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6,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4,555</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26,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21,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29,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20,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0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9,111</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3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2026 and 2025, the Company directed the DRIP plan administrator to purchase shares on the open market in order to satisfy the obligation to deliver shares of common stock. Accordingly, the Company purchased shares to satisfy the DRIP obligation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23"/>
        <w:gridCol w:w="146"/>
        <w:gridCol w:w="398"/>
        <w:gridCol w:w="1843"/>
        <w:gridCol w:w="146"/>
        <w:gridCol w:w="146"/>
        <w:gridCol w:w="709"/>
        <w:gridCol w:w="1571"/>
        <w:gridCol w:w="146"/>
        <w:gridCol w:w="146"/>
        <w:gridCol w:w="511"/>
        <w:gridCol w:w="1026"/>
        <w:gridCol w:w="294"/>
      </w:tblGrid>
      <w:tr>
        <w:trPr/>
        <w:tc>
          <w:tcPr>
            <w:tcW w:w="31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Date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Amount Paid</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2026 through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2026 through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 Weighted-Average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84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12,733</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0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9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31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2025 through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2025 through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1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 Weighted-Average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84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18,079</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0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9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Distributions in excess of the Company’s current and accumulated ICTI would be treated first as a return of capital to the extent of the stockholder’s adjusted tax basis, and any remaining distributions would be treated as a capital gain. The Company currently estimates that a portion of its distributions for the year ending December 31, 2026 will be characterized as a tax return of capital. The determination of the tax attributes of the Company’s distributions is made annually as of the end of its fiscal year based upon its estimated ICTI for the full year and distributions paid for the full year. Each year, a statement on Form 1099-DIV identifying the tax character of distributions is mailed to the Company’s stockholders.</w:t>
      </w:r>
    </w:p>
    <w:p>
      <w:pPr>
        <w:pStyle w:val="TextBody"/>
        <w:bidi w:val="0"/>
        <w:spacing w:before="120" w:after="283"/>
        <w:jc w:val="left"/>
        <w:rPr>
          <w:rFonts w:ascii="Times New Roman" w:hAnsi="Times New Roman"/>
          <w:sz w:val="20"/>
        </w:rPr>
      </w:pPr>
      <w:r>
        <w:rPr>
          <w:rFonts w:ascii="Times New Roman" w:hAnsi="Times New Roman"/>
          <w:b/>
          <w:color w:val="000000"/>
          <w:sz w:val="20"/>
        </w:rPr>
        <w:t>Stock Repurchase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 Stock Repurchase Program under which the Company may acquire up to $10,000 of its outstanding common stock. On April 28, 2026, the Board extended the Stock Repurchase Program for an additional two-year period ending May 22, 2028, or until the approved dollar amount has been used to repurchase shares. The Stock Repurchase Program may be extended, modified or discontinued at any time for any reason.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and 2025, no shares of common stock were repurchased under the Stock Repurchase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OFS Capital Corporation and Subsidiaries</w:t>
      </w:r>
    </w:p>
    <w:p>
      <w:pPr>
        <w:pStyle w:val="TextBody"/>
        <w:bidi w:val="0"/>
        <w:jc w:val="left"/>
        <w:rPr>
          <w:rFonts w:ascii="Times New Roman" w:hAnsi="Times New Roman"/>
          <w:color w:val="000000"/>
          <w:sz w:val="20"/>
        </w:rPr>
      </w:pPr>
      <w:r>
        <w:rPr>
          <w:rFonts w:ascii="Times New Roman" w:hAnsi="Times New Roman"/>
          <w:color w:val="000000"/>
          <w:sz w:val="20"/>
        </w:rPr>
        <w:t>Notes to Consolidated Financial Statements (unaudited)</w:t>
      </w:r>
    </w:p>
    <w:p>
      <w:pPr>
        <w:pStyle w:val="TextBody"/>
        <w:bidi w:val="0"/>
        <w:jc w:val="left"/>
        <w:rPr>
          <w:rFonts w:ascii="Times New Roman" w:hAnsi="Times New Roman"/>
          <w:color w:val="000000"/>
          <w:sz w:val="20"/>
        </w:rPr>
      </w:pPr>
      <w:r>
        <w:rPr>
          <w:rFonts w:ascii="Times New Roman" w:hAnsi="Times New Roman"/>
          <w:color w:val="000000"/>
          <w:sz w:val="20"/>
        </w:rPr>
        <w:t>(Dollar amounts in thousands, except per share data)</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10. Consolidated Schedule of Investments In and Advances To Affiliates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1"/>
        <w:gridCol w:w="790"/>
        <w:gridCol w:w="195"/>
        <w:gridCol w:w="408"/>
        <w:gridCol w:w="146"/>
        <w:gridCol w:w="261"/>
        <w:gridCol w:w="689"/>
        <w:gridCol w:w="151"/>
        <w:gridCol w:w="170"/>
        <w:gridCol w:w="356"/>
        <w:gridCol w:w="146"/>
        <w:gridCol w:w="184"/>
        <w:gridCol w:w="417"/>
        <w:gridCol w:w="146"/>
        <w:gridCol w:w="166"/>
        <w:gridCol w:w="346"/>
        <w:gridCol w:w="146"/>
        <w:gridCol w:w="174"/>
        <w:gridCol w:w="395"/>
        <w:gridCol w:w="146"/>
        <w:gridCol w:w="257"/>
        <w:gridCol w:w="676"/>
        <w:gridCol w:w="146"/>
        <w:gridCol w:w="175"/>
        <w:gridCol w:w="461"/>
        <w:gridCol w:w="146"/>
        <w:gridCol w:w="201"/>
        <w:gridCol w:w="512"/>
        <w:gridCol w:w="151"/>
        <w:gridCol w:w="217"/>
        <w:gridCol w:w="649"/>
        <w:gridCol w:w="201"/>
      </w:tblGrid>
      <w:tr>
        <w:trPr/>
        <w:tc>
          <w:tcPr>
            <w:tcW w:w="98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96"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Six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Name of Portfolio Company</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Investment Type (1)</w:t>
            </w:r>
          </w:p>
        </w:tc>
        <w:tc>
          <w:tcPr>
            <w:tcW w:w="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Net Realized</w:t>
              <w:br/>
              <w:t>Gain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Net Change in</w:t>
              <w:br/>
              <w:t>Unrealized Appreciation/</w:t>
              <w:br/>
              <w:t>(Depreciation)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Dividends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Fees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Income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December 31, 2025 , Fair Value (5)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Gross</w:t>
              <w:br/>
              <w:t>Additions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Gross</w:t>
              <w:br/>
              <w:t>Reductions (4)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June 30, 2026 , Fair Value (5)</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Affiliate Investments</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Contract Datascan Holdings, Inc.</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Equity (7)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9,127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Preferred Equity (7)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3,078</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Equity (6)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Warrants (6)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Warrants (6)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12,205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DRS Imaging Services, LLC</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Equity (6)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3,583</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Pfanstiehl Holdings, Inc.</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Equity</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94,550</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SSJA Bariatric Management LLC</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 Debt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 Debt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3,981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Common Equity (6)</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1,274</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5,488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5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0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6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3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3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1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Affiliate Investments</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14,867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99,945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(1,175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115,826</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Principal balance, interest rate and maturity of debt investments, and ownership detail for equity investments are presented in the consolidated schedule of investments. The Company’s investments are generally classified as “restricted securities” as such term is defined under Regulation S-X Rule 6-03(f) or Securities Act Rule 144.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the total amount of interest, fees or dividends included in income for the six months ended June 30,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Gross additions include increases in cost basis of investments resulting from a new portfolio investment, PIK interest, fees and dividends, accretion of Net Loan Fees, and net increases in unrealized appreciation or decreases in net unrealized depreciation.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Gross reductions include decreases in the cost basis of investments resulting from principal repayments and sales, and net decreases in net unrealized appreciation or net increases in net unrealized depreciation.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sz w:val="20"/>
        </w:rPr>
      </w:pPr>
      <w:r>
        <w:rPr>
          <w:rFonts w:ascii="Times New Roman" w:hAnsi="Times New Roman"/>
          <w:color w:val="000000"/>
          <w:sz w:val="20"/>
        </w:rPr>
        <w:t xml:space="preserve">Fair value was determined using significant unobservable inputs. See </w:t>
      </w:r>
      <w:r>
        <w:rPr>
          <w:rFonts w:ascii="Times New Roman" w:hAnsi="Times New Roman"/>
          <w:b/>
          <w:color w:val="000000"/>
          <w:sz w:val="20"/>
        </w:rPr>
        <w:t>Note 5</w:t>
      </w:r>
      <w:r>
        <w:rPr>
          <w:rFonts w:ascii="Times New Roman" w:hAnsi="Times New Roman"/>
          <w:color w:val="000000"/>
          <w:sz w:val="20"/>
        </w:rPr>
        <w:t xml:space="preserve"> for further details.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Non-income producing. The Company has not recognized income on the security during the prior twelve-month period preceding the period-end date.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jc w:val="left"/>
        <w:rPr>
          <w:rFonts w:ascii="Times New Roman" w:hAnsi="Times New Roman"/>
          <w:color w:val="000000"/>
          <w:sz w:val="20"/>
        </w:rPr>
      </w:pPr>
      <w:r>
        <w:rPr>
          <w:rFonts w:ascii="Times New Roman" w:hAnsi="Times New Roman"/>
          <w:color w:val="000000"/>
          <w:sz w:val="20"/>
        </w:rPr>
        <w:t>Dividends recognized as income include PIK dividends contractually earned but not declared.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11. Subsequent Events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Distribution Declaration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28, 2026, the Board declared a distribution of $0.17 per share for the third quarter of 2026, payable on October 5, 2026 to stockholders of record as of September 18,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
      <w:bookmarkEnd w:id="9"/>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color w:val="000000"/>
          <w:sz w:val="20"/>
        </w:rPr>
        <w:t>Management’s Discussion and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analysis of our financial condition and results of operations should be read in conjunction with our consolidated financial statements and the related notes thereto contained elsewhere in this Quarterly Report on Form 10-Q. For additional overview information on the Company, see “Item 1. Business” in our Annual Report on Form 10-K for the year ended December 31, 2025.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Key performance metrics per common share are presented below:</w:t>
      </w:r>
    </w:p>
    <w:p>
      <w:pPr>
        <w:pStyle w:val="TextBody"/>
        <w:bidi w:val="0"/>
        <w:jc w:val="left"/>
        <w:rPr/>
      </w:pPr>
      <w:r>
        <w:rPr/>
        <w:t> </w:t>
      </w:r>
    </w:p>
    <w:tbl>
      <w:tblPr>
        <w:tblW w:w="4680" w:type="dxa"/>
        <w:jc w:val="left"/>
        <w:tblInd w:w="0" w:type="dxa"/>
        <w:tblLayout w:type="fixed"/>
        <w:tblCellMar>
          <w:top w:w="28" w:type="dxa"/>
          <w:left w:w="28" w:type="dxa"/>
          <w:bottom w:w="28" w:type="dxa"/>
          <w:right w:w="28" w:type="dxa"/>
        </w:tblCellMar>
      </w:tblPr>
      <w:tblGrid>
        <w:gridCol w:w="1336"/>
        <w:gridCol w:w="146"/>
        <w:gridCol w:w="397"/>
        <w:gridCol w:w="878"/>
        <w:gridCol w:w="146"/>
        <w:gridCol w:w="146"/>
        <w:gridCol w:w="449"/>
        <w:gridCol w:w="991"/>
        <w:gridCol w:w="191"/>
      </w:tblGrid>
      <w:tr>
        <w:trPr/>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86"/>
        <w:gridCol w:w="146"/>
        <w:gridCol w:w="354"/>
        <w:gridCol w:w="784"/>
        <w:gridCol w:w="156"/>
        <w:gridCol w:w="156"/>
        <w:gridCol w:w="366"/>
        <w:gridCol w:w="913"/>
        <w:gridCol w:w="166"/>
        <w:gridCol w:w="146"/>
        <w:gridCol w:w="329"/>
        <w:gridCol w:w="822"/>
        <w:gridCol w:w="166"/>
        <w:gridCol w:w="146"/>
        <w:gridCol w:w="329"/>
        <w:gridCol w:w="822"/>
        <w:gridCol w:w="218"/>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declared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NAV per common share increased from $8.16 at March 31, 2026 to $8.41 at June 30, 2026, due to a net gain on investments of $0.34 per common share, partially offset by our quarterly distribution of $0.17 per common share exceeding our quarterly net investment income of $0.08 per common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quarter ended June 30, 2026, total investment income decreased from $8.9 million in the prior quarter to $6.8 million, primarily due to a decrease in interest and dividend income. See “—Results of Operations”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total outstanding debt decreased from $202.5 million at March 31, 2026 to $185.8 million at June 30, 2026. The decrease of $16.7 million in our total outstanding debt during the quarter ended June 30, 2026 was due to net paydowns on our revolving credit facilities. For the quarter ended June 30, 2026, our weighted-average debt interest costs of 7.41% remained stable compared to 7.34% for the quarter ended March 31, 2026. See “—Results of Operations” and “—Liquidity and Capital Resources”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quarter ended June 30, 2026, we recognized a net gain on investments of $4.6 million due to net unrealized appreciation, net of taxes, of $10.6 million, partially offset by a net realized loss of $6.0 million. For the quarter ended June 30, 2026, our net unrealized appreciation of $10.6 million was primarily due to appreciation of $14.1 million on our common equity investment in Pfanstiehl Holdings, Inc. Our net realized loss of $6.0 million during the quarter ended June 30, 2026 was primarily related to an aggregate loss of $4.8 million on the sale of Structured Finance Securities. As of June 30, 2026, we had non-accrual loans with an aggregate fair value of $21.4 million, or 7.2% of our total investments at fair value. See “—Portfolio Composition and Investment Activity”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aggregate amount outstanding of the senior securities issued by us was $185.8 million, for which our asset coverage ratio was 161%, exceeding the minimum asset coverage requirement of 150% under the 1940 Act. As of June 30, 2026, we remained in compliance with all applicable covenants under our outstanding debt facilities. As of June 30, 2026, we had unused commitments of $15.0 million under our Banc of California Credit Facility, and $43.2 million under our Natixis Facility, each of which is subject to a borrowing base and other covenants. As of June 30, 2026, we had unfunded commitments of $6.0 million to fund outstanding commitments to portfolio companies. See “—Liquidity and Capital Resources”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28, 2026, the Board declared a distribution of $0.17 per share for the third quarter of 2026, payable on October 5, 2026 to stockholders of record as of September 18,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Critical Accounting Policies and Significant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critical accounting policies and estimates are those relating to revenue recognition and fair value estimates. Management has discussed the development and selection of each critical accounting policy and estimate with the Audit Committee of the Board. For descriptions of our revenue recognition and fair value policies, see “Item 8. Financial Statements—Notes to Consolidated Financial Statements—Note 2” and “Item 7. Management’s Discussion and Analysis of Financial Condition and Results of Operations—Critical Accounting Policies and Significant Estimates” in our Annual Report on Form 10-K for the year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illustrates the impact of our fair value measures if we selected the low or high end of the range of estimated values for all investments as of June 30, 2026 (dollar amounts in thousands): </w:t>
      </w:r>
    </w:p>
    <w:p>
      <w:pPr>
        <w:pStyle w:val="TextBody"/>
        <w:bidi w:val="0"/>
        <w:jc w:val="left"/>
        <w:rPr/>
      </w:pPr>
      <w:r>
        <w:rPr/>
        <w:t> </w:t>
      </w:r>
    </w:p>
    <w:tbl>
      <w:tblPr>
        <w:tblW w:w="7596" w:type="dxa"/>
        <w:jc w:val="left"/>
        <w:tblInd w:w="0" w:type="dxa"/>
        <w:tblLayout w:type="fixed"/>
        <w:tblCellMar>
          <w:top w:w="28" w:type="dxa"/>
          <w:left w:w="28" w:type="dxa"/>
          <w:bottom w:w="28" w:type="dxa"/>
          <w:right w:w="28" w:type="dxa"/>
        </w:tblCellMar>
      </w:tblPr>
      <w:tblGrid>
        <w:gridCol w:w="3216"/>
        <w:gridCol w:w="146"/>
        <w:gridCol w:w="271"/>
        <w:gridCol w:w="1004"/>
        <w:gridCol w:w="146"/>
        <w:gridCol w:w="146"/>
        <w:gridCol w:w="211"/>
        <w:gridCol w:w="781"/>
        <w:gridCol w:w="146"/>
        <w:gridCol w:w="146"/>
        <w:gridCol w:w="211"/>
        <w:gridCol w:w="781"/>
        <w:gridCol w:w="391"/>
      </w:tblGrid>
      <w:tr>
        <w:trPr/>
        <w:tc>
          <w:tcPr>
            <w:tcW w:w="3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Range of Fair Value</w:t>
            </w:r>
            <w:r>
              <w:rPr>
                <w:rFonts w:ascii="Times New Roman" w:hAnsi="Times New Roman"/>
                <w:b/>
                <w:color w:val="000000"/>
                <w:sz w:val="13"/>
              </w:rPr>
              <w:t>(1)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Investment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at</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Low-end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High-end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First lien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146,967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Second lien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Finance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Mezzanine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equity, warrants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317,597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A majority of our investments are classified as Level 3 under ASC Topic 820. This means that our portfolio valuations are based on unobservable inputs and assumptions about how market participants would price the asset in question. Inputs into the determination of fair value of our portfolio investments require significant management judgment and estimation.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Related 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 number of business relationships with affiliated or related parties,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Investment Advisory Agreement with OFS Advisor to manage our operating and investment activities. Under the Investment Advisory Agreement, we have agreed to pay OFS Advisor an annual base management fee based on the average value of our total assets (other than cash and cash equivalents, but including assets purchased with borrowed amounts and including assets owned by any consolidated entity) as well as an incentive fee based on our investment performance. See “Item 1—Financial Statements—</w:t>
      </w:r>
      <w:r>
        <w:rPr>
          <w:rFonts w:ascii="Times New Roman" w:hAnsi="Times New Roman"/>
          <w:b/>
          <w:color w:val="000000"/>
          <w:sz w:val="20"/>
        </w:rPr>
        <w:t>Note 3</w:t>
      </w:r>
      <w:r>
        <w:rPr>
          <w:color w:val="000000"/>
        </w:rPr>
        <w:t>”</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Administration Agreement with OFS Services, an affiliate of OFS Advisor, to provide us with the office facilities and administrative services necessary to conduct our operations. See “Item 1—Financial Statements—</w:t>
      </w:r>
      <w:r>
        <w:rPr>
          <w:rFonts w:ascii="Times New Roman" w:hAnsi="Times New Roman"/>
          <w:b/>
          <w:color w:val="000000"/>
          <w:sz w:val="20"/>
        </w:rPr>
        <w:t>Note 3</w:t>
      </w:r>
      <w:r>
        <w:rPr>
          <w:color w:val="000000"/>
        </w:rPr>
        <w:t>”</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license agreement with OFSAM, the parent company of OFS Advisor, under which OFSAM has agreed to grant us a non-exclusive, royalty-free license to use the name “OFS.” Under this agreement, we have a right to use the “OFS” name for so long as OFS Advisor or one of its affiliates remains our investment adviser. Other than with respect to this limited license, we have no legal right to the “OFS” name. This license agreement will remain in effect for so long as the Investment Advisory Agreement with OFS Advisor is in effect.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OFS Advisor’s services under the Investment Advisory Agreement are not exclusive to us and OFS Advisor is free to furnish similar services to other entities, including other funds advised or sub-advised by OFS Advisor, so long as its services to us are not impaired. OFS Advisor also serves as the investment adviser to other funds, including HPCI and OCCI. Additionally, OFS Advisor provides sub-advisory services to: (i) CMFT Securities Investments, LLC, a wholly owned subsidiary of CIM Real Estate Finance Trust, Inc., a corporation that qualifies as a real estate investment trust; and (ii) CIM Real Assets &amp; Credit Fund, an externally managed registered investment company that operates as an interval fund that invests primarily in a combination of real estate, credit and related investments.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17, 2026 and June 23, 2026, OFS Advisor agreed to waive a portion of its base management fee for the quarters ended March 31, 2026 and June 30, 2026, respectively, attributable to all of the OFSCC-FS Assets to 0.25% per quarter (1.00% annualized) of the average value of the OFSCC-FS Assets (other than cash and cash equivalents, but including assets purchased with borrowed amounts) at the end of the two most recently completed calendar quarters. These waivers differ from prior periods where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OFS Advisor had contractually agreed to reduce its base management fee for the entire year at the beginning of the year. As of June 30, 2026, there is no active ongoing fee waiver or reduction agreement in place with OFS Advisor for the remainder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2025, OFS Advisor agreed to reduce its base management fee attributable to all of the OFSCC-FS Assets to 0.25% per quarter (1.00% annualized) of the average value of the OFSCC-FS Assets (other than cash and cash equivalents, but including assets purchased with borrowed amounts) at the end of the two most recently completed calendar quarters.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OFS Advisor is not entitled to recoup the amount of the base management fee waived or reduced with respect to the OFSCC-FS Assets. The fee waivers and reductions were provided at OFS Advisor’s discretion; there can be no assurance that similar fee waivers or reductions will be provided in future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1940 Act generally prohibits BDCs from making certain negotiated co-investments with certain affiliates absent an order from the SEC permitting the BDC to do so. On August 4, 2020, we received our existing Order, which superseded a previous order that we received on October 12, 2016, and provides us with greater flexibility to enter into co-investment transactions with certain Affiliated Funds in a manner consistent with our investment objective, positions, policies, strategies and restrictions as well as regulatory requirements and other pertinent factors, subject to compliance with certain conditions. We are generally permitted to co-invest with Affiliated Funds if, under the terms of the Order, a “required majority” (as defined in Section 57(o) of the 1940 Act) of our independent directors make certain conclusions in connection with a co-investment transaction, including that: (1) the terms of the transaction, including the consideration to be paid, are reasonable and fair to us and our stockholders and do not involve overreaching in respect of us or our stockholders on the part of any person concerned; (2) the transaction is consistent with the interests of our stockholders and is consistent with our investment objective and strategies; (3) the investment by our affiliates would not disadvantage us, and our participation would not be on a basis different from or less advantageous than that on which our affiliates are investing; and (4) the proposed investment by us would not benefit OFS Advisor, the other Affiliated Funds that are participating in the investment, or any affiliated person of any of them (other than parties to the transaction), except to the extent permitted by the exemptive relief and applicable law, including the limitations set forth in Section 57(k) of the 1940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have submitted a new application for exemptive relief that, if granted, will supersede our existing Order and permit us to co-invest pursuant to a different set of conditions than those in our existing Order. However, there is no guarantee that the SEC will grant such application.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Conflicts may arise when we make an investment in conjunction with an investment being made by an Affiliated Account, or in a transaction where an Affiliated Account has already made an investment. Investment opportunities are, from time to time, appropriate for more than one account in the same, different or overlapping securities of a portfolio company’s capital structure. Conflicts arise in determining the terms of investments, particularly where these accounts may invest in different types of securities in a single portfolio company. Potential conflicts arise when addressing, among other things, questions as to whether payment obligations and covenants should be enforced, modified or waived, or whether debt should be restructured, modified or refinanced. For a discussion of the risks associated with conflicts of interest, see “Item 1. Business—Regulation—Conflicts of Interest” and “Item 1A. Risk Factors—Risks Related to OFS Advisor and its Affiliates—We have potential conflicts of interest related to the purchases and sales that OFS Advisor makes on our behalf and/or on behalf of Affiliated Accounts” in our Annual Report on Form 10-K for the year ended December 31, 2025.</w:t>
      </w:r>
    </w:p>
    <w:p>
      <w:pPr>
        <w:pStyle w:val="TextBody"/>
        <w:bidi w:val="0"/>
        <w:spacing w:before="120" w:after="283"/>
        <w:jc w:val="left"/>
        <w:rPr>
          <w:rFonts w:ascii="Times New Roman" w:hAnsi="Times New Roman"/>
          <w:sz w:val="20"/>
        </w:rPr>
      </w:pPr>
      <w:r>
        <w:rPr>
          <w:rFonts w:ascii="Times New Roman" w:hAnsi="Times New Roman"/>
          <w:b/>
          <w:color w:val="000000"/>
          <w:sz w:val="20"/>
        </w:rPr>
        <w:t>Portfolio Composition and Investment Activity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Portfolio Composition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 fair value of our debt investment portfolio totaled $147.0 million in 33 portfolio companies, of which approximately 97% and 3% were first lien and second lien debt investments, respectively. We also had equity investments in 13 portfolio companies with a fair value of approximately $116.7 million and 10 investments in Structured Finance Securities with a fair value of approximately $34.1 million. As of June 30, 2026, we had unfunded commitments of $6.0 million to fund outstanding commitments to 12 portfolio companies. Set forth in the tables and charts below is selected information with respect to our portfolio as of June 30, 2026 and December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our ten largest investments by issuer based on fair value as of June 30, 2026 (dollar amounts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87"/>
        <w:gridCol w:w="146"/>
        <w:gridCol w:w="1439"/>
        <w:gridCol w:w="146"/>
        <w:gridCol w:w="213"/>
        <w:gridCol w:w="793"/>
        <w:gridCol w:w="146"/>
        <w:gridCol w:w="146"/>
        <w:gridCol w:w="216"/>
        <w:gridCol w:w="802"/>
        <w:gridCol w:w="146"/>
        <w:gridCol w:w="146"/>
        <w:gridCol w:w="266"/>
        <w:gridCol w:w="857"/>
        <w:gridCol w:w="271"/>
        <w:gridCol w:w="146"/>
        <w:gridCol w:w="206"/>
        <w:gridCol w:w="812"/>
        <w:gridCol w:w="521"/>
      </w:tblGrid>
      <w:tr>
        <w:trPr/>
        <w:tc>
          <w:tcPr>
            <w:tcW w:w="2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2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Issuer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Total</w:t>
              <w:br/>
              <w:t>Portfolio, at</w:t>
              <w:br/>
              <w:t>Fair Value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Net</w:t>
              <w:br/>
              <w:t>Assets, at</w:t>
              <w:br/>
              <w:t>Fair Value</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Pfanstiehl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Kreg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 Acquisition,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Inergex Holdings,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Datascan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One GI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Boca Home Care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Debt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Tolemar Acquisition,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 Seven Holdco,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PSB Group,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5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our common equity investment in Pfanstiehl Holdings, Inc., a global manufacturer of high-purity pharmaceutical ingredients, accounted for 31.8% and 84.0% of our total portfolio at fair value and our total net assets, respectively. The value of this investment is substantially comprised of unrealized appreciation of $94.3 million. The valuation’s unobservable inputs incorporate discounts for the minority-interest and illiquid nature of the security; however, the valuation, in accordance with fair value concepts, is based on assumptions applicable to an orderly transaction between market participants and does not reflect the impact of a forced sale or entity-specific liquidity constraints. As a result, there can be no assurance that we would be able to realize this value in a timely manner,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deterioration or improvement in the operating performance of these portfolio investments, or other factors underlying the valuation of these investments, could have a material impact on our NAV.</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Portfolio Yields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weighted-average yield metrics for our portfolio as of June 30, 2026 and March 31, 2026:</w:t>
      </w:r>
    </w:p>
    <w:p>
      <w:pPr>
        <w:pStyle w:val="TextBody"/>
        <w:bidi w:val="0"/>
        <w:jc w:val="left"/>
        <w:rPr/>
      </w:pPr>
      <w:r>
        <w:rPr/>
        <w:t> </w:t>
      </w:r>
    </w:p>
    <w:tbl>
      <w:tblPr>
        <w:tblW w:w="7906" w:type="dxa"/>
        <w:jc w:val="left"/>
        <w:tblInd w:w="0" w:type="dxa"/>
        <w:tblLayout w:type="fixed"/>
        <w:tblCellMar>
          <w:top w:w="28" w:type="dxa"/>
          <w:left w:w="28" w:type="dxa"/>
          <w:bottom w:w="28" w:type="dxa"/>
          <w:right w:w="28" w:type="dxa"/>
        </w:tblCellMar>
      </w:tblPr>
      <w:tblGrid>
        <w:gridCol w:w="3886"/>
        <w:gridCol w:w="146"/>
        <w:gridCol w:w="303"/>
        <w:gridCol w:w="972"/>
        <w:gridCol w:w="418"/>
        <w:gridCol w:w="225"/>
        <w:gridCol w:w="343"/>
        <w:gridCol w:w="1097"/>
        <w:gridCol w:w="516"/>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Weighted-average performing income yield</w:t>
            </w:r>
            <w:r>
              <w:rPr>
                <w:rFonts w:ascii="Times New Roman" w:hAnsi="Times New Roman"/>
                <w:color w:val="000000"/>
                <w:sz w:val="13"/>
              </w:rPr>
              <w:t>(1)</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Structured Finance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Interest-bearing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Weighted-average realized yield</w:t>
            </w:r>
            <w:r>
              <w:rPr>
                <w:rFonts w:ascii="Times New Roman" w:hAnsi="Times New Roman"/>
                <w:color w:val="000000"/>
                <w:sz w:val="13"/>
              </w:rPr>
              <w:t>(2)</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Interest-bearing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Performing income yield is calculated as (a) the actual amount earned on performing interest-bearing investments, including interest, prepayment fees and amortization of Net Loan Fees, divided by (b) the weighted-average of total performing interest-bearing investments at amortized cost.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Realized yield is calculated as (a) the actual amount earned on interest-bearing investments, including interest, prepayment fees and amortization of Net Loan Fees, divided by (b) the weighted-average of total interest-bearing investments at amortized cost, in each case, including debt investments on non-accrual status and non-performing Structured Finance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the weighted-average performing income yield on interest-bearing investments decreased to 12.1% from 12.5% during the prior quarter. This decrease was primarily attributable to the reversal of previously accrued interest income on debt investments to one portfolio company placed on non-accrual status during the quarter and a decrease in the effective yields of our Structured Finance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Weighted-average yields of our investments are not the same as a return on investment for our stockholders, but rather the gross investment income from our investment portfolio before the payment of all of our fees and expenses. There can be no assurance that the weighted average yields will remain at their current levels. As of June 30, 2026, 93% of our total loan portfolio, at fair value, consisted of variable rate investments, generally indexed to SOFR. See additional information under “Item 3. Quantitative and Qualitative Disclosures About Market Risk”.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Portfolio Company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composition of our Portfolio Company Investments as of June 30, 2026 and December 31, 2025 (dollar amounts in thousands):</w:t>
      </w:r>
    </w:p>
    <w:p>
      <w:pPr>
        <w:pStyle w:val="TextBody"/>
        <w:bidi w:val="0"/>
        <w:jc w:val="left"/>
        <w:rPr/>
      </w:pPr>
      <w:r>
        <w:rPr/>
        <w:t> </w:t>
      </w:r>
    </w:p>
    <w:tbl>
      <w:tblPr>
        <w:tblW w:w="8446" w:type="dxa"/>
        <w:jc w:val="left"/>
        <w:tblInd w:w="0" w:type="dxa"/>
        <w:tblLayout w:type="fixed"/>
        <w:tblCellMar>
          <w:top w:w="28" w:type="dxa"/>
          <w:left w:w="28" w:type="dxa"/>
          <w:bottom w:w="28" w:type="dxa"/>
          <w:right w:w="28" w:type="dxa"/>
        </w:tblCellMar>
      </w:tblPr>
      <w:tblGrid>
        <w:gridCol w:w="3181"/>
        <w:gridCol w:w="146"/>
        <w:gridCol w:w="213"/>
        <w:gridCol w:w="793"/>
        <w:gridCol w:w="146"/>
        <w:gridCol w:w="146"/>
        <w:gridCol w:w="217"/>
        <w:gridCol w:w="803"/>
        <w:gridCol w:w="146"/>
        <w:gridCol w:w="146"/>
        <w:gridCol w:w="213"/>
        <w:gridCol w:w="793"/>
        <w:gridCol w:w="146"/>
        <w:gridCol w:w="146"/>
        <w:gridCol w:w="217"/>
        <w:gridCol w:w="803"/>
        <w:gridCol w:w="1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First lien debt investments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lien debt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equity, warrants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Portfolio Company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263,684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280,410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portfolio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As of June 30, 2026 and December 31, 2025, first lien debt investments include unitranche investments (which are loans that combine both senior and subordinated debt, in a first lien position) with an amortized cost and fair value of $123.4 million and $106.4 million, respectively, and $130.3 million and $116.3 million, respectively. Unitranche loans generally provide leverage levels comparable to a combination of first lien and second lien or subordinated loans. Investments in “last out” pieces of unitranche loans will be similar to second lien loans in that such investments will be junior in priority to the “first out” piece of the same unitranche loan with respect to payment of principal and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100% of our loan portfolio and 49% of our total portfolio consisted of first lien and second lien loans, based on fair value.</w:t>
      </w:r>
    </w:p>
    <w:p>
      <w:pPr>
        <w:pStyle w:val="TextBody"/>
        <w:bidi w:val="0"/>
        <w:spacing w:before="120" w:after="283"/>
        <w:jc w:val="left"/>
        <w:rPr>
          <w:rFonts w:ascii="Times New Roman" w:hAnsi="Times New Roman"/>
          <w:sz w:val="20"/>
        </w:rPr>
      </w:pPr>
      <w:r>
        <w:rPr>
          <w:rFonts w:ascii="Times New Roman" w:hAnsi="Times New Roman"/>
          <w:color w:val="000000"/>
          <w:sz w:val="20"/>
        </w:rPr>
        <w:t>As of June 30, 2026, the three largest industries of our Portfolio Company Investments by fair value, were: (1) Manufacturing (40.9%); (2) Health Care and Social Assistance (15.4%); and (3) Real Estate and Rental and Leasing (8.4%), totaling an aggregate of approximately 64.7% of our Portfolio Company Investment portfolio. For a full summary of our investment portfolio by industry, see “Item 1—Financial Statements—</w:t>
      </w:r>
      <w:r>
        <w:rPr>
          <w:rFonts w:ascii="Times New Roman" w:hAnsi="Times New Roman"/>
          <w:b/>
          <w:color w:val="000000"/>
          <w:sz w:val="20"/>
        </w:rPr>
        <w:t>Note 4</w:t>
      </w:r>
      <w:r>
        <w:rPr>
          <w:rFonts w:ascii="Times New Roman" w:hAnsi="Times New Roman"/>
          <w:color w:val="000000"/>
          <w:sz w:val="20"/>
        </w:rPr>
        <w: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Structured Finance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composition of our Structured Finance Securities as of June 30, 2026 and December 31, 2025 (dollar amounts in thousands):</w:t>
      </w:r>
    </w:p>
    <w:p>
      <w:pPr>
        <w:pStyle w:val="TextBody"/>
        <w:bidi w:val="0"/>
        <w:jc w:val="left"/>
        <w:rPr/>
      </w:pPr>
      <w:r>
        <w:rPr/>
        <w:t> </w:t>
      </w:r>
    </w:p>
    <w:tbl>
      <w:tblPr>
        <w:tblW w:w="8656" w:type="dxa"/>
        <w:jc w:val="left"/>
        <w:tblInd w:w="0" w:type="dxa"/>
        <w:tblLayout w:type="fixed"/>
        <w:tblCellMar>
          <w:top w:w="28" w:type="dxa"/>
          <w:left w:w="28" w:type="dxa"/>
          <w:bottom w:w="28" w:type="dxa"/>
          <w:right w:w="28" w:type="dxa"/>
        </w:tblCellMar>
      </w:tblPr>
      <w:tblGrid>
        <w:gridCol w:w="3391"/>
        <w:gridCol w:w="146"/>
        <w:gridCol w:w="239"/>
        <w:gridCol w:w="767"/>
        <w:gridCol w:w="146"/>
        <w:gridCol w:w="146"/>
        <w:gridCol w:w="242"/>
        <w:gridCol w:w="778"/>
        <w:gridCol w:w="146"/>
        <w:gridCol w:w="146"/>
        <w:gridCol w:w="239"/>
        <w:gridCol w:w="767"/>
        <w:gridCol w:w="146"/>
        <w:gridCol w:w="146"/>
        <w:gridCol w:w="242"/>
        <w:gridCol w:w="778"/>
        <w:gridCol w:w="1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Mezzanine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Structured Finance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Structured Finance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Non-performing Structured Finance Securities are securities that have not been optionally redeemed and have an effective yield of 0.0%, as remaining residual distributions are anticipated to be recognized as a return of capital. As of June 30, 2026, the aggregate amortized cost and fair value of non-performing Structured Finance Securities were $7.2 million and $1.1 million,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we sold Structured Finance Securities for net proceeds of $11.0 million, resulting in an aggregate net realized loss of $6.1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Investment Activity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our investment activity for the three months ended June 30, 2026 and March 31, 2026, and the six months ended June 30, 2026 and 2025 (dollar amounts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79"/>
        <w:gridCol w:w="146"/>
        <w:gridCol w:w="249"/>
        <w:gridCol w:w="800"/>
        <w:gridCol w:w="159"/>
        <w:gridCol w:w="159"/>
        <w:gridCol w:w="266"/>
        <w:gridCol w:w="853"/>
        <w:gridCol w:w="146"/>
        <w:gridCol w:w="146"/>
        <w:gridCol w:w="249"/>
        <w:gridCol w:w="800"/>
        <w:gridCol w:w="152"/>
        <w:gridCol w:w="152"/>
        <w:gridCol w:w="249"/>
        <w:gridCol w:w="800"/>
        <w:gridCol w:w="200"/>
      </w:tblGrid>
      <w:tr>
        <w:trPr/>
        <w:tc>
          <w:tcPr>
            <w:tcW w:w="4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debt and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4,256</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13,390</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Investments in Structured Finance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9,528</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investment purchases and originations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4,256</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22,918</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principal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investments sold or redeemed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16,456</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30,512</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18,413</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distributions received from portfolio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4,859</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6,934</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proceeds from principal payments, sales or redemptions, and distributions received from portfolio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19,796</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45,326</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33,512</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Non-Cash Investment Activity</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2026, our first lien debt investment in Redstone HoldCo 2 LP (F/K/A RSA Security) underwent a restructuring through which our first lien debt investment was exchanged for a combination of new first lien debt investments in the portfolio company at a price equal to 63% of par. In connection with the transaction, we recognized a realized loss of $0.6 million on the debt restructure corresponding to the amount forgiven upon the exchange. As of June 30, 2026, our new first lien debt investments had an aggregate amortized cost of and fair value of $1.1 million and $1.0 million, respectively.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 Monitoring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categorize debt investments into seven risk categories based on relevant information about the ability of borrowers to service their debt. For additional information regarding our risk categories, see “Item 1. Business—Portfolio Review/Risk Monitoring” in our Annual Report on Form 10-K for the year ended December 31, 2025, filed on March 3, 2026. The following table shows the classification of our debt investments, excluding Structured Finance Securities, by credit risk rating as of June 30, 2026 and December 31, 2025 (dollar amounts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37"/>
        <w:gridCol w:w="146"/>
        <w:gridCol w:w="213"/>
        <w:gridCol w:w="793"/>
        <w:gridCol w:w="146"/>
        <w:gridCol w:w="146"/>
        <w:gridCol w:w="213"/>
        <w:gridCol w:w="789"/>
        <w:gridCol w:w="146"/>
        <w:gridCol w:w="146"/>
        <w:gridCol w:w="235"/>
        <w:gridCol w:w="921"/>
        <w:gridCol w:w="331"/>
        <w:gridCol w:w="146"/>
        <w:gridCol w:w="248"/>
        <w:gridCol w:w="926"/>
        <w:gridCol w:w="146"/>
        <w:gridCol w:w="146"/>
        <w:gridCol w:w="213"/>
        <w:gridCol w:w="789"/>
        <w:gridCol w:w="146"/>
        <w:gridCol w:w="146"/>
        <w:gridCol w:w="235"/>
        <w:gridCol w:w="921"/>
        <w:gridCol w:w="381"/>
      </w:tblGrid>
      <w:tr>
        <w:trPr/>
        <w:tc>
          <w:tcPr>
            <w:tcW w:w="15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1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Debt Investments as of</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Risk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Debt</w:t>
              <w:br/>
              <w:t>Investments,</w:t>
              <w:br/>
              <w:t>at Fair</w:t>
              <w:br/>
              <w:t>Value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of Debt</w:t>
              <w:br/>
              <w:t>Investments,</w:t>
              <w:br/>
              <w:t>at Fair</w:t>
              <w:br/>
              <w:t>Value</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(Low Risk)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1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(Below Average Risk)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1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(Average)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1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 (Special Mention)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1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 (Substandard)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15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 (Doubtful)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15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15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Non-Accrual Loans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reviews, for placement on non-accrual status, all loans and CLO mezzanine debt investments that become past due on principal and interest, and/or when there is reasonable doubt that principal or interest will be collected. When a loan is placed on non-accrual status, accrued and unpaid cash interest is reversed.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appreciation/depreciation, as applicable. Additionally, Net Loan Fees are no longer recognized as of the date the loan is placed on non-accrual status. Depending upon management’s judgment, interest payments subsequently received on non-accrual investments may be recognized as interest income or applied as a reduction to amortized cost. Interest accruals and Net Loan Fee amortization are resumed on non-accrual investments only when they are brought current with respect to principal and interest payments or until a restructuring occurs and, in the judgment of management, it is probable that we will collect all principal and interest from the investment.</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the classification of our debt investments on non-accrual status (dollar amounts in thousands):</w:t>
      </w:r>
    </w:p>
    <w:p>
      <w:pPr>
        <w:pStyle w:val="TextBody"/>
        <w:bidi w:val="0"/>
        <w:jc w:val="left"/>
        <w:rPr/>
      </w:pPr>
      <w:r>
        <w:rPr/>
        <w:t> </w:t>
      </w:r>
    </w:p>
    <w:tbl>
      <w:tblPr>
        <w:tblW w:w="4560" w:type="dxa"/>
        <w:jc w:val="left"/>
        <w:tblInd w:w="0" w:type="dxa"/>
        <w:tblLayout w:type="fixed"/>
        <w:tblCellMar>
          <w:top w:w="28" w:type="dxa"/>
          <w:left w:w="28" w:type="dxa"/>
          <w:bottom w:w="28" w:type="dxa"/>
          <w:right w:w="28" w:type="dxa"/>
        </w:tblCellMar>
      </w:tblPr>
      <w:tblGrid>
        <w:gridCol w:w="1486"/>
        <w:gridCol w:w="146"/>
        <w:gridCol w:w="338"/>
        <w:gridCol w:w="1087"/>
        <w:gridCol w:w="146"/>
        <w:gridCol w:w="146"/>
        <w:gridCol w:w="242"/>
        <w:gridCol w:w="778"/>
        <w:gridCol w:w="19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months ended June 30, 2026, our first lien debt investments in One GI LLC with an aggregate amortized cost and fair value of $12.5 million and $10.4 million, respectively, were placed on non-accrual status.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As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the classification of our debt investments on non-accrual status (dollar amounts in thousands):</w:t>
      </w:r>
    </w:p>
    <w:p>
      <w:pPr>
        <w:pStyle w:val="TextBody"/>
        <w:bidi w:val="0"/>
        <w:jc w:val="left"/>
        <w:rPr/>
      </w:pPr>
      <w:r>
        <w:rPr/>
        <w:t> </w:t>
      </w:r>
    </w:p>
    <w:tbl>
      <w:tblPr>
        <w:tblW w:w="4560" w:type="dxa"/>
        <w:jc w:val="left"/>
        <w:tblInd w:w="0" w:type="dxa"/>
        <w:tblLayout w:type="fixed"/>
        <w:tblCellMar>
          <w:top w:w="28" w:type="dxa"/>
          <w:left w:w="28" w:type="dxa"/>
          <w:bottom w:w="28" w:type="dxa"/>
          <w:right w:w="28" w:type="dxa"/>
        </w:tblCellMar>
      </w:tblPr>
      <w:tblGrid>
        <w:gridCol w:w="1486"/>
        <w:gridCol w:w="146"/>
        <w:gridCol w:w="338"/>
        <w:gridCol w:w="1087"/>
        <w:gridCol w:w="146"/>
        <w:gridCol w:w="146"/>
        <w:gridCol w:w="242"/>
        <w:gridCol w:w="778"/>
        <w:gridCol w:w="191"/>
      </w:tblGrid>
      <w:tr>
        <w:trPr/>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lien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lien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key financial measures are described in “Item 7. Management’s Discussion and Analysis of Financial Condition and Results of Operations—Results of Operations—Key Financial Measures” in our Annual Report on Form 10-K for the year ended December 31, 2025, filed on March 3, 2026. The following is a discussion of the key financial measures that management employs in reviewing the performance of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believe that our historical operating performance is necessarily indicative of our future results of operations. We are primarily focused on debt investments in middle-market and larger companies in the United States and, to a lesser extent, equity investments, including warrants and other minority equity securities, and Structured Finance Securities. Moreover, as a BDC and a RIC, we are also subject to certain constraints on our operations, including, but not limited to, limitations imposed by the 1940 Act and the Code. For the reasons described above, the results of operations described below may not necessarily be indicative of the results we expect to report in future periods.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increase (decrease) in net assets resulting from operations can vary substantially from period to period for various reasons, including the recognition of realized gains and losses and unrealized appreciation and depreciation. As a result, annual comparisons of net increase (decrease) in net assets resulting from operations may not be meaningful.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analysis compares our quarterly results of operations to the preceding quarter, as well as our year-to-date results of operations to the corresponding period in the prior year. We believe a comparison of our current quarterly results to the preceding quarter is more meaningful and transparent than a comparison to the corresponding prior-year quarter as our results of operations are not influenced by seasonal factors that the latter comparison is designed to elicit and highlight.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March 31, 2026 and comparison of the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operating results for the three months ended June 30, 2026 and March 31, 2026, and the six months ended June 30, 2026 and 2025 are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36"/>
        <w:gridCol w:w="146"/>
        <w:gridCol w:w="301"/>
        <w:gridCol w:w="814"/>
        <w:gridCol w:w="146"/>
        <w:gridCol w:w="146"/>
        <w:gridCol w:w="285"/>
        <w:gridCol w:w="995"/>
        <w:gridCol w:w="166"/>
        <w:gridCol w:w="146"/>
        <w:gridCol w:w="273"/>
        <w:gridCol w:w="876"/>
        <w:gridCol w:w="166"/>
        <w:gridCol w:w="146"/>
        <w:gridCol w:w="260"/>
        <w:gridCol w:w="908"/>
        <w:gridCol w:w="395"/>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12,840</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PIK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Loan Fee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interest income on CLO 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19,987</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PIK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dividend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Syndication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Prepayment and other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20,771</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expenses, net of base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investment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6,748</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(decrease) in net assets resulting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(16,918</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Investment Income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Comparison of the three months ended June 30, 2026 and March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total investment income decreased from $8.9 million in the prior quarter to $6.8 million, primarily due to decreases in interest income of $1.2 million and dividend income of $0.9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interest income decreased by $1.2 million compared to the prior quarter, primarily due to a smaller average debt investment portfolio, at cost, the placement of loans to a portfolio company on non-accrual status and a decrease in the effective yields on our Structured Finance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dividend income decreased by $0.9 million compared to the prior quarter, primarily due to a non-recurring cash dividend of $0.9 million from our common equity investment in Pfanstiehl Holdings, Inc. recognized during the prior quarter.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Fee income is primarily comprised of unused fees, prepayment fees and syndication fees that generally result from periodic transactions rather than from holding portfolio investments, and are considered non-recurring. We receive syndication fees on investments where OFS Advisor sources, structures and arranges the lending group.</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Comparison of the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investment income for the six months ended June 30, 2026 decreased $5.0 million compared to the corresponding period in the prior year, primarily due to a decrease in total interest income of $6.0 million, partially offset by an increase in total dividend income of $1.1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expenses for the three months ended June 30, 2026 and March 31, 2026, and the six months ended June 30, 2026 and 2025 are presented below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43"/>
        <w:gridCol w:w="146"/>
        <w:gridCol w:w="318"/>
        <w:gridCol w:w="860"/>
        <w:gridCol w:w="166"/>
        <w:gridCol w:w="146"/>
        <w:gridCol w:w="353"/>
        <w:gridCol w:w="958"/>
        <w:gridCol w:w="166"/>
        <w:gridCol w:w="146"/>
        <w:gridCol w:w="285"/>
        <w:gridCol w:w="914"/>
        <w:gridCol w:w="166"/>
        <w:gridCol w:w="146"/>
        <w:gridCol w:w="285"/>
        <w:gridCol w:w="914"/>
        <w:gridCol w:w="393"/>
      </w:tblGrid>
      <w:tr>
        <w:trPr/>
        <w:tc>
          <w:tcPr>
            <w:tcW w:w="3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8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7,700</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 management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Incentive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Administration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expenses before base management fee waiver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14,023</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 management fee waiver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expenses, net of base management fee waiver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14,023</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Comparison of the three months ended June 30, 2026 and March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for the three months ended June 30, 2026 decreased $0.2 million compared to the prior quarter, primarily due to a decrease of $13.0 million in our average outstanding debt balances compared to the prior quarter. During the quarter ended June 30, 2026, we reduced the aggregate outstanding balance of our revolving credit facilities by $16.7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Incentive Fees for the three months ended June 30, 2026 decreased $0.4 million compared to the prior quarter, primarily due to a decrease in our net investment income return on net assets in the current quarter.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the base management fee waiver of $0.2 million was due to OFS Advisor agreeing to waive its base management fee attributable to all of the OFSCC-FS Assets to 0.25% per quarter (1.00% annualized) of the average value of the OFSCC-FS Assets (other than cash and cash equivalents, but including assets purchased with borrowed amounts) at the end of the two most recently completed calendar quarters.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Comparison of the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expenses, net of the base management fee waivers, for the six months ended June 30, 2026 decreased $1.8 million compared to the corresponding period in the prior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 management fees, net of the fee waivers, for the six months ended June 30, 2026 decreased $0.7 million compared to the corresponding period in the prior year, primarily due to a decrease in our total investment portfolio, at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Incentive Fees for the six months ended June 30, 2026 decreased $0.7 million compared to the corresponding period in the prior year, primarily due to a decrease in our net investment income of $3.3 million.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Net realized and unrealized gain (loss) on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gain (loss) on investments, inclusive of realized and unrealized gains (losses), and net of current and deferred income taxes, by investment type for the three months ended June 30, 2026 and March 31, 2026, and the six months ended June 30, 2026 and 2025 were as follows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16"/>
        <w:gridCol w:w="146"/>
        <w:gridCol w:w="298"/>
        <w:gridCol w:w="958"/>
        <w:gridCol w:w="166"/>
        <w:gridCol w:w="146"/>
        <w:gridCol w:w="316"/>
        <w:gridCol w:w="1101"/>
        <w:gridCol w:w="166"/>
        <w:gridCol w:w="146"/>
        <w:gridCol w:w="280"/>
        <w:gridCol w:w="979"/>
        <w:gridCol w:w="166"/>
        <w:gridCol w:w="146"/>
        <w:gridCol w:w="280"/>
        <w:gridCol w:w="979"/>
        <w:gridCol w:w="216"/>
      </w:tblGrid>
      <w:tr>
        <w:trPr/>
        <w:tc>
          <w:tcPr>
            <w:tcW w:w="3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(10,332</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Structured Finance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Current/deferred 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gain (loss)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(23,666</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Net gain (loss) on investments for the three months ended June 30, 2026 and March 31, 2026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Three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June 30, 2026, we recognized a net gain on investments of $4.6 million due to net unrealized appreciation, net of taxes of $10.6 million, partially offset by a net realized loss of $6.0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net unrealized appreciation, net of taxes, of $10.6 million was primarily due to appreciation of $14.1 million on our common equity investment in Pfanstiehl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we recognized a net realized loss of $6.0 million, primarily due to an aggregate loss of $4.8 million on the sale of Structured Finance Securities.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Three months ended March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we recognized a net loss on investments of $13.9 million due to a net realized loss of $11.3 million and net unrealized depreciation, net of taxes, of $2.6 million. For the quarter ended March 31, 2026, our net realized and unrealized loss on investments of $13.9 million was primarily attributable to $10.3 million of net realized and unrealized losses on our Structured Finance Securities.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Net gain (loss) on investments for the six months ended June 30, 2026 and 2025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Six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we recognized a net loss on investments of $9.4 million, comprised of net realized losses of $17.3 million, partially offset by net unrealized appreciation of $8.0 million.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Six months ended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2025, we recognized a net loss on investments of $23.7 million, comprised of net unrealized depreciation of $17.1 million and net realized losses of $6.8 million. The net unrealized depreciation during the period was primarily due to depreciation of $6.3 million on our common equity investment in Pfanstiehl Holdings, Inc. and $5.6 million on our non-accrual debt investments.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Loss on Extinguishment of Debt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Six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we fully repaid and terminated the BNP Facility, and, as a result, we recognized a loss on extinguishment of debt of $0.1 million related to the acceleration of deferred financing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we amended the Banc of California Credit Facility to, among other things, reduce the maximum facility amount from $25.0 million to $15.0 million, and, as a result, we recognized a loss on extinguishment of debt of less than $0.1 million related to the acceleration of deferred financing costs.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held cash and cash equivalents of $4.0 million, which included $2.9 million held by OFSCC-FS. Distributions from OFSCC-FS to the Parent are restricted by the terms and conditions of the Natixis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18, 2026, OFSCC-FS entered into the Natixis Facility, which provides for borrowings in an aggregate principal amount up to $80.0 million. See “Borrowings—Natixis Facility”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18, 2026, in connection with the closing of the Natixis Facility, OFSCC-FS repaid in full all outstanding obligations due, and terminated all commitments, under the BNP Facility. All liens securing the BNP Facility were released upon such repayment.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an unused commitment of $15.0 million under our Banc of California Credit Facility, as well as an unused commitment of $43.2 million under our Natixis Facility, both of which are subject to borrowing base requirements and other covenants.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unfunded commitments of $6.0 million to fund outstanding commitments to portfolio companies.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aggregate amount outstanding of the senior securities issued by us was $185.8 million, for which our asset coverage was 161%, exceeding our minimum asset coverage requirement of 150% under the 1940 Act. The asset coverage ratio for a class of senior securities representing indebtedness is calculated as our consolidated total assets, less all liabilities and indebtedness not represented by senior securities, divided by total senior securities representing indebtedness.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Sources and Uses of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operating cash flows from net investment income and the net proceeds from the liquidation of portfolio investments, and use cash in our operations in the net purchase of portfolio investments and payment of expenses. Significant variations may exist between net investment income and cash from net investment income, primarily due to the recognition of non-cash investment income, including certain Net Loan Fee amortization, PIK interest and PIK dividends, which generally will not be fully realized in cash until we exit the investment, as well as accreted interest income on Structured Finance Securities, which may not coincide with cash distributions from these investments. As discussed in “Item 1.—Financial Statements—Note 3,” we pay OFS Advisor a quarterly incentive fee with respect to our pre-incentive fee net investment income, which may include investment income that we have not received in cash. In addition, we must distribute substantially all of our taxable income, which approximates, but will not always equal, the cash we generate from net investment income to maintain our RIC tax treatment. We also obtain cash to fund investments or general corporate activities from the issuance of securities and our revolving lines of credit. These principal sources and uses of cash and liquidity are presented below (in thousands):</w:t>
      </w:r>
    </w:p>
    <w:p>
      <w:pPr>
        <w:pStyle w:val="TextBody"/>
        <w:bidi w:val="0"/>
        <w:jc w:val="left"/>
        <w:rPr/>
      </w:pPr>
      <w:r>
        <w:rPr/>
        <w:t> </w:t>
      </w:r>
    </w:p>
    <w:tbl>
      <w:tblPr>
        <w:tblW w:w="7062" w:type="dxa"/>
        <w:jc w:val="left"/>
        <w:tblInd w:w="0" w:type="dxa"/>
        <w:tblLayout w:type="fixed"/>
        <w:tblCellMar>
          <w:top w:w="28" w:type="dxa"/>
          <w:left w:w="28" w:type="dxa"/>
          <w:bottom w:w="28" w:type="dxa"/>
          <w:right w:w="28" w:type="dxa"/>
        </w:tblCellMar>
      </w:tblPr>
      <w:tblGrid>
        <w:gridCol w:w="4321"/>
        <w:gridCol w:w="146"/>
        <w:gridCol w:w="228"/>
        <w:gridCol w:w="796"/>
        <w:gridCol w:w="179"/>
        <w:gridCol w:w="157"/>
        <w:gridCol w:w="228"/>
        <w:gridCol w:w="796"/>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Cash from net investment income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repayments and sales of portfolio investments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36,257</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39,145</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Distributions paid to stockholders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(2,278</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repayments under revolving lines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Redemption of Unsecured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(38,522</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Cash from net investment income includes all other cash flows from operating activities reported in our statements of cash flows. Net purchases and originations/repayments and sales of portfolio investments includes the purchase and origination of portfolio investments, proceeds from principal payments on portfolio investments, proceeds from sale or redemption of portfolio investments, changes in receivable for investments sold, payable from investments purchased as reported in our statements of cash flows, as well as differences in proceeds from distributions received from Structured Finance Securities relative to accretion of interest income on Structured Finance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estimate that a portion of our distributions for the year ending December 31, 2026 will be characterized as a tax return of capital. The determination of the tax attributes of our distributions is made annually as of the end of our fiscal year based upon our ICTI for the full year and distributions paid for the full year. Therefore, a determination made on a quarterly basis may not be representative of the actual tax attributes of our distributions for a full year.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Net cash provided by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net cash from operating activities increased by $20.9 million compared to the six months ended June 30, 2025, primarily due to an increase of $24.1 million in net repayments and sales of portfolio investments, which were primarily used for the repayment of outstanding debt.</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Net cash used in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net cash used in financing activities increased $24.5 million compared to the six months ended June 30, 2025, primarily due to the redemption of Unsecured Notes and net repayments on our revolving lines of credit, partially offset by a reduction in distributions paid to stockholders.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Borrowings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$185.8 million of outstanding debt with a weighted-average effective interest rate of 7.40%. As of June 30, 2026, 100% of our outstanding debt matures in more than two years and 80% of our outstanding debt is unsecured.</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Banc of California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party to the BLA with Banc of California, as lender, to provide us with a senior secured revolving credit facility, or the Banc of California Credit Facility, which is available for general corporate purposes including investment funding and is scheduled to mature on February 28, 2028. The Banc of California Credit Facility currently bears interest at a variable Prime Rate plus a 0.25% margin, with a 5.00% floor, and an annual commitment fee of 0.50% based on the maximum principal amount of the facility. As of June 30, 2026, the effective interest rate on the Banc of California Credit Facility was 7.52%. The maximum availability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Banc of California Credit Facility is equal to 50% of the aggregate outstanding principal amount of eligible loans included in the borrowing base, which typically excludes Structured Finance Securities, foreign loans, and non-performing loans, and as otherwise specified in the BLA. The Banc of California Credit Facility is guaranteed by OFSCC-MB and secured by all of our and OFSCC-MB’s current and future assets, excluding assets held by OFSCC-FS and our partnership interests in SBIC I LP.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9, 2026, we amended the Banc of California Credit Facility to extend the maturity date from February 28, 2026 to February 28,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27, 2026, we amended the Banc of California Credit Facility to, among other things: (i) reduce the minimum tangible net asset value covenant from $100.0 million to $75.0 million; (ii) reduce the covenant requiring minimum quarterly net investment income after management/incentive fees from $2.0 million to $1.0 million for each of the quarters ending March 31, 2026, June 30, 2026 and September 30, 2026, after which the minimum quarterly net investment income after management/incentive fees covenant shall return to $2.0 million; and (iii) decrease our maximum commitment amount from $25.0 million to $15.0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BLA contains customary terms and conditions, including, without limitation, affirmative and negative covenants, such as information reporting requirements, a minimum tangible net asset value, a minimum quarterly net investment income after incentive fees and a debt/worth ratio. The BLA also contains customary events of default, including, without limitation, nonpayment, misrepresentation of representations and warranties in a material respect, breach of covenant, cross-default to other indebtedness, bankruptcy, change in investment advisor, and the occurrence of a material adverse change in our financial condition. As of June 30, 2026, we were in compliance in all material respects with the applicable covenants under the Banc of California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no outstanding debt and an unused commitment of $15.0 million under the Banc of California Credit Facility, subject to the terms of the borrowing base and other covenants.</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Unsecured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and December 31, 2025, we had $149.0 million and $165.0 million, respectively, in outstanding Unsecured Notes. The Unsecured Notes are direct unsecured obligations and rank equal in right of payment with all of our current and future unsecured indebtedness. Because the Unsecured Notes are not secured by any of our assets, they are effectively subordinated to all existing and future secured unsubordinated indebtedness (or any indebtedness that is initially unsecured as to which we subsequently grant a security interest), to the extent of the value of the assets securing such indebtedness, including, without limitation, borrowings under the Banc of California Credit Facility and Natixis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among other things, reduce future cash interest payments, as well as future amounts due at maturity or upon redemption, we may, from time to time, purchase the Unsecured Notes for cash in open market purchases and/or privately negotiated transactions. We will evaluate any such transactions in light of then-existing market conditions, taking into account our current liquidity, prospects for future access to capital, contractual restrictions and other factors. The amounts involved in any such transactions, individually or in the aggregate, may be material. During the six months ended June 30, 2026, no outstanding Unsecured Notes were repurchased.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Redemption of Unsecured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8, 2026, we issued notices to the holders of the Unsecured Notes Due February 2026 regarding the exercise of our option to redeem on February 9, 2026 $16.0 million, which was equal to the remainder of the outstanding Unsecured Notes Due February 2026, plus accrued interest of $0.4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Unsecured Notes had the following terms and balances (dollar amounts in thousands):</w:t>
      </w:r>
    </w:p>
    <w:p>
      <w:pPr>
        <w:pStyle w:val="TextBody"/>
        <w:bidi w:val="0"/>
        <w:jc w:val="left"/>
        <w:rPr/>
      </w:pPr>
      <w:r>
        <w:rPr/>
        <w:t> </w:t>
      </w:r>
    </w:p>
    <w:tbl>
      <w:tblPr>
        <w:tblW w:w="9810" w:type="dxa"/>
        <w:jc w:val="left"/>
        <w:tblInd w:w="0" w:type="dxa"/>
        <w:tblLayout w:type="fixed"/>
        <w:tblCellMar>
          <w:top w:w="28" w:type="dxa"/>
          <w:left w:w="28" w:type="dxa"/>
          <w:bottom w:w="28" w:type="dxa"/>
          <w:right w:w="28" w:type="dxa"/>
        </w:tblCellMar>
      </w:tblPr>
      <w:tblGrid>
        <w:gridCol w:w="3016"/>
        <w:gridCol w:w="146"/>
        <w:gridCol w:w="211"/>
        <w:gridCol w:w="781"/>
        <w:gridCol w:w="146"/>
        <w:gridCol w:w="146"/>
        <w:gridCol w:w="179"/>
        <w:gridCol w:w="572"/>
        <w:gridCol w:w="271"/>
        <w:gridCol w:w="146"/>
        <w:gridCol w:w="204"/>
        <w:gridCol w:w="652"/>
        <w:gridCol w:w="271"/>
        <w:gridCol w:w="146"/>
        <w:gridCol w:w="1216"/>
        <w:gridCol w:w="146"/>
        <w:gridCol w:w="156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3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Unsecured 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Stated</w:t>
              <w:br/>
              <w:t>Interest</w:t>
              <w:br/>
              <w:t>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Effective</w:t>
              <w:br/>
              <w:t>Interest</w:t>
              <w:br/>
              <w:t>Rate</w:t>
            </w:r>
            <w:r>
              <w:rPr>
                <w:rFonts w:ascii="Times New Roman" w:hAnsi="Times New Roman"/>
                <w:b/>
                <w:color w:val="000000"/>
                <w:sz w:val="13"/>
              </w:rPr>
              <w:t>(1)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Optional</w:t>
              <w:br/>
              <w:t>Redemption</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Maturity</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Unsecured Notes Due July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31, 2028</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Unsecured Notes Due October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Callable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October 31, 2028</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Unsecured Note Due August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Callable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August 8, 2029</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 Weighted-Average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The effective interest rate on the Unsecured Notes includes deferred debt issuance cost amortization.</w:t>
      </w:r>
    </w:p>
    <w:p>
      <w:pPr>
        <w:pStyle w:val="TextBody"/>
        <w:bidi w:val="0"/>
        <w:spacing w:before="120" w:after="120"/>
        <w:jc w:val="both"/>
        <w:rPr>
          <w:rFonts w:ascii="Times New Roman" w:hAnsi="Times New Roman"/>
          <w:color w:val="000000"/>
          <w:sz w:val="20"/>
          <w:u w:val="single"/>
        </w:rPr>
      </w:pPr>
      <w:r>
        <w:rPr>
          <w:rFonts w:ascii="Times New Roman" w:hAnsi="Times New Roman"/>
          <w:color w:val="000000"/>
          <w:sz w:val="20"/>
          <w:u w:val="single"/>
        </w:rPr>
        <w:t>Natixis Facility</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On February 18, 2026, OFSCC-FS entered into the Natixis Facility, which provides for borrowings in an aggregate principal amount up to $80.0 million. Borrowings under the Natixis Facility bear interest at a rate based on SOFR plus a margin of 2.35%. The Natixis Facility also includes a fee of 0.40% on the unused amount of the facility, as well as an arranger fee of 0.20% on the total commitment amount of the facility. The reinvestment period during which OFSCC-FS is permitted to borrow terminates on February 18, 2029, and the facility is scheduled to mature on February 18, 2031.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the Natixis Facility had outstanding debt of $36.8 million, the unused commitment under the Natixis Facility was $43.2 million, subject to a borrowing base and other covenants, and the stated interest rate on the Natixis Facility was 6.08%.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Borrowings under the Natixis Facility are secured by substantially all of the assets held by OFSCC-FS, which were $107.0 million at June 30, 2026. Our use of cash and cash equivalents held by OFSCC-FS is limited by the terms and conditions of the Natixis Facility, including but not limited to, the payment of interest expense and principal on the outstanding borrowings. As of June 30, 2026 and December 31, 2025, OFSCC-FS had cash and cash equivalents of $2.9 million and $2.4 million, respectively.</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BNP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20, 2019, OFSCC-FS entered into the BNP Facility, which provided for borrowings in an aggregate principal amount up to $80.0 million during its reinvestment period. Borrowings under the BNP Facility bore interest at a variable rate of SOFR plus a variable margin (2.65% floor), which was determined on the basis of industry-recognized portfolio company metrics at the time of funding.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February 18, 2026, in connection with the closing of the Natixis Facility, OFSCC-FS repaid in full all outstanding obligations due, and terminated all commitments, under the BNP Facility. All liens securing the BNP Facility were released upon such repayment.</w:t>
      </w:r>
    </w:p>
    <w:p>
      <w:pPr>
        <w:pStyle w:val="TextBody"/>
        <w:bidi w:val="0"/>
        <w:jc w:val="left"/>
        <w:rPr>
          <w:rFonts w:ascii="Times New Roman" w:hAnsi="Times New Roman"/>
          <w:color w:val="000000"/>
          <w:sz w:val="20"/>
        </w:rPr>
      </w:pPr>
      <w:r>
        <w:rPr>
          <w:rFonts w:ascii="Times New Roman" w:hAnsi="Times New Roman"/>
          <w:color w:val="000000"/>
          <w:sz w:val="20"/>
        </w:rPr>
        <w:t>The following table shows the scheduled maturities of the principal balances of our outstanding borrowings as of June 30, 2026 (in thousands):</w:t>
      </w:r>
    </w:p>
    <w:tbl>
      <w:tblPr>
        <w:tblW w:w="9773" w:type="dxa"/>
        <w:jc w:val="left"/>
        <w:tblInd w:w="0" w:type="dxa"/>
        <w:tblLayout w:type="fixed"/>
        <w:tblCellMar>
          <w:top w:w="28" w:type="dxa"/>
          <w:left w:w="28" w:type="dxa"/>
          <w:bottom w:w="28" w:type="dxa"/>
          <w:right w:w="28" w:type="dxa"/>
        </w:tblCellMar>
      </w:tblPr>
      <w:tblGrid>
        <w:gridCol w:w="3016"/>
        <w:gridCol w:w="146"/>
        <w:gridCol w:w="211"/>
        <w:gridCol w:w="781"/>
        <w:gridCol w:w="146"/>
        <w:gridCol w:w="146"/>
        <w:gridCol w:w="341"/>
        <w:gridCol w:w="559"/>
        <w:gridCol w:w="146"/>
        <w:gridCol w:w="146"/>
        <w:gridCol w:w="229"/>
        <w:gridCol w:w="851"/>
        <w:gridCol w:w="146"/>
        <w:gridCol w:w="146"/>
        <w:gridCol w:w="257"/>
        <w:gridCol w:w="823"/>
        <w:gridCol w:w="146"/>
        <w:gridCol w:w="146"/>
        <w:gridCol w:w="454"/>
        <w:gridCol w:w="746"/>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Payments due by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 to 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 to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After 5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Banc of California Credit Facility</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Natixis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Unsecured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 As of June 30, 2026, the Banc of California Credit Facility had no outstanding balance and is scheduled to mature on February 28, 2028.</w:t>
      </w:r>
    </w:p>
    <w:p>
      <w:pPr>
        <w:pStyle w:val="TextBody"/>
        <w:bidi w:val="0"/>
        <w:spacing w:before="120" w:after="283"/>
        <w:jc w:val="left"/>
        <w:rPr>
          <w:rFonts w:ascii="Times New Roman" w:hAnsi="Times New Roman"/>
          <w:sz w:val="20"/>
        </w:rPr>
      </w:pPr>
      <w:r>
        <w:rPr>
          <w:rFonts w:ascii="Times New Roman" w:hAnsi="Times New Roman"/>
          <w:b/>
          <w:color w:val="000000"/>
          <w:sz w:val="20"/>
        </w:rPr>
        <w:t>Other Liquidity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fund the growth of our investment portfolio utilizing our current borrowings, follow-on equity offerings, and issuances of senior securities or future borrowings to the extent permitted by the 1940 Act. We cannot assure stockholders that our plans to raise capital will be successful or available to us on favorable terms, if at all. In addition, we intend to distribute to our stockholders substantially all of our taxable income in order to satisfy the requirements applicable to RICs under Subchapter M of the Code. Consequently, we may not have the funds or the ability to fund new investments or make additional investments in our portfolio companies. The illiquidity of our portfolio investments, in particular, equity investments, may make it difficult for us to sell these investments when desired and, if we are required to sell these investments, we may realize significantly less than their recorded value and incur a capital loss.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BDC, we must not acquire any assets other than “qualifying assets” specified in the 1940 Act unless, at the time the acquisition is made, at least 70% of our assets, as defined by the 1940 Act, are qualifying assets (with certain limited exceptions). Qualifying assets include investments in “eligible portfolio companies.” Under the relevant SEC rules, the term “eligible portfolio company” includes all private companies, companies whose securities are not listed on a national securities exchange, and certain public companies that have listed their securities on a national securities exchange and have a market capitalization of less than $250 million, in each case organized in the United States. Conversely, we may invest up to 30% of our portfolio in opportunistic investments not otherwise eligible under BDC regulations. Specifically, as part of this 30% basket, we may consider investments in investment funds that are operating pursuant to certain exceptions to the 1940 Act and in advisers to similar investment funds, as well as in debt or equity of middle-market portfolio companies located outside of the United States and debt and equity of public companies that do not meet the definition of eligible portfolio companies because their market capitalization of publicly traded equity securities exceeds the levels provided for in the 1940 Act. We have, and may continue to, make opportunistic investments in Structured Finance Securities and other non-qualifying assets, consistent with our investment strategy. Investments in Structured Finance Securities are generally made in non-U.S. entities and are not operating companies and, therefore, are generally deemed to be non-qualifying. As of June 30, 2026, approximately 87% of our investments were qualifying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3, 2018, our Board, including a required majority (as such term is defined in Section 57(o) of the 1940 Act) thereof, approved the application of the modified asset coverage requirements set forth in Section 61(a)(2) of the 1940 Act. As a result, effective May 3, 2019, our minimum required asset coverage ratio decreased from 200% to 150%. As of June 30, 2026, our asset coverage ratio of 161% exceeded the minimum asset coverage requirement of 150% under the 1940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22, 2018, the Board authorized the Stock Repurchase Program under which we could acquire up to $10.0 million of our outstanding common stock through the two-year period ended May 22, 2020. On each of May 4, 2020, May 3, 2022 and April 30, 2024, our Board extended the Stock Repurchase Program for additional two-year periods. On April 28, 2026, our Board extended the Stock Repurchase Program for the two-year period ending on May 22, 2028. Under the extended Stock Repurchase Program, we are authorized to repurchase shares in open-market transactions, including through block purchases, depending on prevailing market conditions and other factors. We expect the Stock Repurchase Program to be in place through May 22, 2028, or until the approved dollar amount has been used to repurchase shares. The Stock Repurchase Program does not obligate us to acquire any specific number of shares, and all repurchases will be made in accordance with SEC Rule 10b-18, which sets certain restrictions on the method, timing, price and volume of stock repurchases. The Stock Repurchase Program may be extended, modified or discontinued at any time for any reason. We have provided our stockholders with notice of our intention to repurchase shares of our common stock in accordance with 1940 Act requirements. We retire all shares of common stock that we purchased in connection with the Stock Repurchase Program. During the six months ended June 30, 2026, we did not make any repurchases of common stock on the open market under the Stock Repurchase Program. As of June 30, 2026, the approximate dollar value of shares remaining that may be purchased under the program was $9.6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the Board determines that such sale is in the best interests of us and our stockholders, and if our stockholders approve such sale. On July 30, 2025, our stockholders approved a proposal to authorize us, with approval of our Board, to sell or otherwise issue shares of our common stock (during a twelve-month period) at a price below our then-current net asset value per share in one or more offerings, subject to certain limitations (including that the cumulative number of shares sold pursuant to such authority does not exceed 25% of our then outstanding common stock immediately prior to each such sale). We did not sell any shares below net asset value pursuant to the proposal approved by our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monitor the current banking environment. If the banks and financial institutions with whom we have credit facilities enter into receivership, undergo consolidation or become insolvent in the future, our liquidity may be reduced significantly. At various times, our cash balances at third-party financial institutions exceed the federally insured limit. Our cash and cash equivalent balances are retained in custodian accounts with U.S. Bank Trust Company, National Association and Citibank N.A., and we do not believe they are exposed to any significant credit risk.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Contractual Obligations and Off-Balance Sheet Arrangements</w:t>
      </w:r>
    </w:p>
    <w:p>
      <w:pPr>
        <w:pStyle w:val="TextBody"/>
        <w:bidi w:val="0"/>
        <w:spacing w:before="120" w:after="120"/>
        <w:jc w:val="left"/>
        <w:rPr>
          <w:rFonts w:ascii="Times New Roman" w:hAnsi="Times New Roman"/>
          <w:color w:val="000000"/>
          <w:sz w:val="20"/>
          <w:u w:val="single"/>
        </w:rPr>
      </w:pPr>
      <w:r>
        <w:rPr>
          <w:rFonts w:ascii="Times New Roman" w:hAnsi="Times New Roman"/>
          <w:color w:val="000000"/>
          <w:sz w:val="20"/>
          <w:u w:val="single"/>
        </w:rPr>
        <w:t>Contractual Obligations</w:t>
      </w:r>
    </w:p>
    <w:p>
      <w:pPr>
        <w:pStyle w:val="TextBody"/>
        <w:bidi w:val="0"/>
        <w:jc w:val="left"/>
        <w:rPr>
          <w:rFonts w:ascii="Times New Roman" w:hAnsi="Times New Roman"/>
          <w:color w:val="000000"/>
          <w:sz w:val="20"/>
        </w:rPr>
      </w:pPr>
      <w:r>
        <w:rPr>
          <w:rFonts w:ascii="Times New Roman" w:hAnsi="Times New Roman"/>
          <w:color w:val="000000"/>
          <w:sz w:val="20"/>
        </w:rPr>
        <w:t>As of June 30, 2026, we had $4.0 million of cash and cash equivalents, as well as unused commitments of $15.0 million under our Banc of California Credit Facility and $43.2 million under our Natixis Facility, respectively, to meet our short-term contractual obligations, subject to contractual requirements and regulatory asset coverage requirements. As of June 30, 2026, we had $6.0 million in unfunded commitments to fund portfolio investments that can be funded with our current cash or credit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maturity extension of our Banc of California Credit Facility in January 2026, the final repayment of our 4.75% Unsecured Notes Due February 2026, and the execution of our Natixis Facility in February 2026, we do not have any debt maturities until February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Long-term contractual obligations, such as our Natixis Facility that matures in 2031 and had $36.8 million outstanding as of June 30, 2026, could be repaid by selling OFSCC-FS portfolio investments that have a fair value of $102.2 million as of June 30, 2026. A portion of the OFSCC-FS portfolio includes broadly syndicated loans in larger portfolio companies that generally can be sold over a relatively short period to generate cash. As of June 30, 2026, the broadly syndicated loan investments in the OFSCC-FS portfolio totaled $14.6 million at fair value. We cannot, however, be certain that this source of funds will be available and upon terms acceptable to us in sufficient amounts in the future. If we were required to liquidate a portfolio investment in a forced or liquidation sale, we could realize significantly less than its current fair value and incur significant realized losses on our invested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$149.0 million of outstanding Unsecured Notes, of which $124.0 million matures in 2028 and $25.0 million matures in 2029. The Unsecured Notes can be repaid by issuing additional senior securities to refinance the debt or by selling portfolio investments, although there is no guarantee that there would be a market for additional senior securities.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contracts with third parties under which we have material future commitments — the Investment Advisory Agreement, pursuant to which OFS Advisor has agreed to serve as our investment adviser, and the Administration Agreement, pursuant to which OFS Services has agreed to furnish us with the facilities and administrative services necessary to conduct our day-to-day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become a party to financial instruments with off-balance sheet risk in the normal course of business to meet the financial needs of our portfolio companies. These instruments may include commitments to extend credit and involve, to varying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degrees, elements of liquidity and credit risk in excess of the amount recognized on the balance sheet. There is no guarantee that these amounts will be funded to the borrowing party now or in the future. We continue to believe that we have sufficient levels of liquidity to support our existing portfolio companies and will meet these unfunded commitments by using our cash on hand or utilizing our available borrowing capacity under the Banc of California Credit Facility and Natixis Facility.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Distributions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taxed as a RIC under the Code. In order to maintain our tax treatment as a RIC, we are required to distribute annually to our stockholders at least 90% of our ICTI, as defined by the Code. Additionally, to avoid a 4% excise tax on undistributed earnings we are required to distribute each calendar year the sum of: (i) 98% of our ordinary income for such calendar year; (ii) 98.2% of our net capital gains for the one-year period ending October 31 of that calendar year; and (iii) any income recognized, but not distributed, in preceding years and on which we paid no federal income tax. Maintenance of our RIC status requires adherence to certain source of income and asset diversification requirements. Generally, a RIC is entitled to deduct dividends it pays to its stockholders from its income to determine “taxable income”. Taxable income includes our taxable interest, dividend and fee income, and taxable net capital gains. Taxable income generally differs from net income for financial reporting purposes due to temporary and permanent differences in the recognition of income and expenses, and generally excludes net unrealized appreciation or depreciation, as gains or losses are not included in taxable income until they are realized. In addition, gains realized for financial reporting purposes may differ from gains included in taxable income as a result of our election to recognize gains using installment sale treatment, which generally results in the deferment of gains for tax purposes until notes or other amounts, including amounts held in escrow received as consideration from the sale of investments, are collected in cash. Taxable income includes non-cash income, such as changes in accrued and reinvested interest and dividends, which includes contractual PIK interest, and the amortization of discounts and fees. Cash collections of income resulting from contractual PIK interest and dividends or the amortization of discounts and fees generally occur upon the repayment of the loans or debt securities that include such items. Non-cash taxable income is reduced by non-cash expenses, such as realized losses and depreciation, and amortization expense.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maintains a variable dividend policy with the objective of distributing quarterly distributions in an amount not less than 90% of our taxable quarterly income or potential annual income for a particular year. In addition, during the year, we may pay a special dividend, such that we may distribute approximately all of our annual taxable income in the year it was earned, while maintaining the option to spill over our excess taxable income to a following year. We may choose to retain a portion of our taxable income in any year and pay the 4% U.S. federal excise tax on the retained amounts. Distributions in excess of our current and accumulated ICTI would be treated first as a return of capital to the extent of the stockholder’s adjusted tax basis, and any remaining distributions would be treated as a capital gain. The determination of the tax attributes of our distributions is made annually as of the end of our fiscal year based upon our estimated ICTI for the full year and distributions paid for the full year. Each year, a statement on Form 1099-DIV identifying the source of the distribution is mailed to our stockholders.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Declaration of a Distribution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28, 2026, our Board declared a distribution of $0.17 per share for the third quarter of 2026, payable on October 5, 2026 to stockholders of record as of September 18,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bookmarkStart w:id="10" w:name="item_3"/>
      <w:bookmarkEnd w:id="10"/>
      <w:r>
        <w:rPr>
          <w:rFonts w:ascii="Times New Roman" w:hAnsi="Times New Roman"/>
          <w:b/>
          <w:color w:val="000000"/>
          <w:sz w:val="20"/>
        </w:rPr>
        <w:t>Item 3. Quantitative and Qualitative Disclosures About Market Risk</w:t>
      </w:r>
    </w:p>
    <w:p>
      <w:pPr>
        <w:pStyle w:val="TextBody"/>
        <w:bidi w:val="0"/>
        <w:jc w:val="left"/>
        <w:rPr>
          <w:rFonts w:ascii="Times New Roman" w:hAnsi="Times New Roman"/>
          <w:color w:val="000000"/>
          <w:sz w:val="20"/>
        </w:rPr>
      </w:pPr>
      <w:r>
        <w:rPr>
          <w:rFonts w:ascii="Times New Roman" w:hAnsi="Times New Roman"/>
          <w:color w:val="000000"/>
          <w:sz w:val="20"/>
        </w:rPr>
        <w:t>We are subject to financial market risks, including changes in interest rates and the valuations of our investment portfolio. The economic effects of the ongoing war between Russia and Ukraine, the escalated armed conflict and heightened regional tensions in the Middle East, activity in South America, interest rate and inflation rate changes, ongoing supply chain and labor market disruptions, including those as a result of strikes, work stoppages or accidents, the agenda of the U.S. presidential administration, including the impact of tariff enactment and tax reductions, trade disputes with other countries, instability in the U.S. and international banking systems and the risk of recession or the impact of the prolonged shutdown of U.S. government services has introduced significant volatility in the financial markets, and the effects of this volatility has impacted and could continue to impact our market risks. For additional information concerning risks and their potential impact on our business and our operating results, see “Part I—Item 1A. Risk Factors” in our Annual Report on Form 10-K for the fiscal year ended December 31, 2025, filed on March 3, 2026.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Investment Valuation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there is not a readily available market value for most of the investments in our portfolio, we value a significant portion of our portfolio investments at fair value as determined in good faith by OFS Advisor, as valuation designee, based, in part, on independent third-party valuation firms that have been engaged at the direction of OFS Advisor to assist in the valuation of most portfolio investments without a readily available market quotation. Due to the inherent uncertainty of determining the fair value of investments that do not have a readily available market value, the fair value of our investments may fluctuate significantly from period-to-period. Additionally, the fair value of our investments may differ significantly from the values that would have been used had a ready market existed for such investments and may differ materially from the values that we may ultimately realize. Further, some investments may be subject to legal and other restrictions on resale or otherwise are less liquid than publicly traded securities. If we were required to liquidate a portfolio investment in a forced or liquidation sale, we could realize significantly less than its current fair value. See “Management’s Discussion and Analysis of Financial Condition and Results of Operations—Critical Accounting Policies and Significant Estimates” as well as Notes 2 and 5 to our consolidated financial statements for the six months ended June 30, 2026 for more information relating to our investment valuation.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held loans and mezzanine debt investments with an aggregate fair value of $139.4 million, or 93% of our total loan and mezzanine debt investments, at fair value, that bore interest at floating interest rates and contained interest rate reset provisions that adjust applicable interest rates to current rates on a periodic basis. The aggregate 175 basis point reductions in the U.S. Federal Reserve target federal funds rate enacted from September 2024 through December 2025 has resulted in our variable rate debt investments generating less interest income. Changes in interest rates, including potential additional interest rate reductions approved by the U.S. Federal Reserve, may impact our results of operations, cost of funding and the valuation of our investments. Additional reductions in interest rates would reduce our interest income, which could in turn decrease our net investment income if such decreases in base interest rates are not offset by other factors, such as increases in the spread over such base interest rates or decreases in our 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our Unsecured Notes comprise 80% of our total outstanding debt. Our Unsecured Notes bear interest at fixed rates, which may result in net interest margin compression in a period of falling interest rates. As of June 30, 2026, our Banc of California Credit Facility and Natixis Facility had floating interest rate provisions based on the applicable reference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rate sensitivity refers to the change in our earnings that may result from changes in the level of interest rates as of June 30, 2026. As of June 30, 2026, 1-month and 3-month SOFR were 3.65% and 3.73%, respectively. Assuming that the interim and unaudited consolidated balance sheet as of June 30, 2026 were to remain constant and that we took no actions to alter our existing interest rate sensitivity, the following tables show the annualized impact of hypothetical changes in interest rate indices (in thousands).</w:t>
      </w:r>
    </w:p>
    <w:p>
      <w:pPr>
        <w:pStyle w:val="TextBody"/>
        <w:bidi w:val="0"/>
        <w:jc w:val="left"/>
        <w:rPr/>
      </w:pPr>
      <w:r>
        <w:rPr/>
        <w:t> </w:t>
      </w:r>
    </w:p>
    <w:tbl>
      <w:tblPr>
        <w:tblW w:w="6642" w:type="dxa"/>
        <w:jc w:val="left"/>
        <w:tblInd w:w="0" w:type="dxa"/>
        <w:tblLayout w:type="fixed"/>
        <w:tblCellMar>
          <w:top w:w="28" w:type="dxa"/>
          <w:left w:w="28" w:type="dxa"/>
          <w:bottom w:w="28" w:type="dxa"/>
          <w:right w:w="28" w:type="dxa"/>
        </w:tblCellMar>
      </w:tblPr>
      <w:tblGrid>
        <w:gridCol w:w="1801"/>
        <w:gridCol w:w="146"/>
        <w:gridCol w:w="380"/>
        <w:gridCol w:w="1030"/>
        <w:gridCol w:w="146"/>
        <w:gridCol w:w="146"/>
        <w:gridCol w:w="442"/>
        <w:gridCol w:w="1013"/>
        <w:gridCol w:w="166"/>
        <w:gridCol w:w="146"/>
        <w:gridCol w:w="279"/>
        <w:gridCol w:w="756"/>
        <w:gridCol w:w="1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Basis point 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6692" w:type="dxa"/>
        <w:jc w:val="left"/>
        <w:tblInd w:w="0" w:type="dxa"/>
        <w:tblLayout w:type="fixed"/>
        <w:tblCellMar>
          <w:top w:w="28" w:type="dxa"/>
          <w:left w:w="28" w:type="dxa"/>
          <w:bottom w:w="28" w:type="dxa"/>
          <w:right w:w="28" w:type="dxa"/>
        </w:tblCellMar>
      </w:tblPr>
      <w:tblGrid>
        <w:gridCol w:w="1831"/>
        <w:gridCol w:w="146"/>
        <w:gridCol w:w="353"/>
        <w:gridCol w:w="1057"/>
        <w:gridCol w:w="166"/>
        <w:gridCol w:w="146"/>
        <w:gridCol w:w="484"/>
        <w:gridCol w:w="971"/>
        <w:gridCol w:w="146"/>
        <w:gridCol w:w="146"/>
        <w:gridCol w:w="259"/>
        <w:gridCol w:w="776"/>
        <w:gridCol w:w="21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Basis point 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we believe that the foregoing analysis is indicative of our net interest margin sensitivity to interest rate changes as of June 30, 2026, it does not adjust for potential changes in the credit market, credit quality, size and composition of the assets in our portfolio, and other business developments, including borrowings under our credit facilities, that could affect net increase or decrease in net assets resulting from operations, or net income. Accordingly, no assurances can be given that actual results would not differ materially from the statement above. </w:t>
      </w:r>
    </w:p>
    <w:p>
      <w:pPr>
        <w:pStyle w:val="TextBody"/>
        <w:bidi w:val="0"/>
        <w:spacing w:before="120" w:after="283"/>
        <w:jc w:val="left"/>
        <w:rPr>
          <w:rFonts w:ascii="Times New Roman" w:hAnsi="Times New Roman"/>
          <w:b/>
          <w:color w:val="000000"/>
          <w:sz w:val="20"/>
        </w:rPr>
      </w:pPr>
      <w:bookmarkStart w:id="11" w:name="item_4"/>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Chief Financial Officer, evaluated the effectiveness of our disclosure controls and procedures as of June 30, 2026. The term “disclosure controls and procedures” (as defined in Rules 13a-15(e) and 15d-15(e) under the Exchange Act) means controls and other procedures of a company that are designed to ensure that information required to be disclosed by a company in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foregoing evaluation of our disclosure controls and procedures as of June 30, 2026, our Chief Executive Officer and Chief Financial Officer concluded that, as of such date, our disclosure controls and procedures were effective at the reasonable assurance level.</w:t>
      </w:r>
    </w:p>
    <w:p>
      <w:pPr>
        <w:pStyle w:val="TextBody"/>
        <w:bidi w:val="0"/>
        <w:spacing w:before="12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June 30, 2026, there were no changes in our internal control over financial reporting (as defined in Rules 13a-15(f) and 15d-15(f) under the Exchange Act)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ii"/>
      <w:bookmarkEnd w:id="12"/>
      <w:r>
        <w:rPr>
          <w:rFonts w:ascii="Times New Roman" w:hAnsi="Times New Roman"/>
          <w:b/>
          <w:color w:val="000000"/>
          <w:sz w:val="20"/>
        </w:rPr>
        <w:t>PART II—OTHER INFORMATION</w:t>
      </w:r>
    </w:p>
    <w:p>
      <w:pPr>
        <w:pStyle w:val="TextBody"/>
        <w:bidi w:val="0"/>
        <w:spacing w:before="300" w:after="283"/>
        <w:jc w:val="left"/>
        <w:rPr>
          <w:rFonts w:ascii="Times New Roman" w:hAnsi="Times New Roman"/>
          <w:b/>
          <w:color w:val="000000"/>
          <w:sz w:val="20"/>
        </w:rPr>
      </w:pPr>
      <w:bookmarkStart w:id="13" w:name="partii_1"/>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OFS Advisor and OFS Services, are not currently subject to any material pending legal proceedings threatened against us as of June 30, 2026. From time to time, we may be a party to certain legal proceedings incidental to the normal course of our business, including the enforcement of our rights under contracts with our portfolio companies. Furthermore, third parties may try to seek to impose liability on us in connection with the activities of our portfolio companies. While the outcome of these legal proceedings cannot be predicted with certainty, we do not expect that these proceedings will have a material effect upon our business, financial condition, results of operations or cash flows.</w:t>
      </w:r>
    </w:p>
    <w:p>
      <w:pPr>
        <w:pStyle w:val="TextBody"/>
        <w:bidi w:val="0"/>
        <w:spacing w:before="120" w:after="283"/>
        <w:jc w:val="left"/>
        <w:rPr>
          <w:rFonts w:ascii="Times New Roman" w:hAnsi="Times New Roman"/>
          <w:b/>
          <w:color w:val="000000"/>
          <w:sz w:val="20"/>
        </w:rPr>
      </w:pPr>
      <w:bookmarkStart w:id="14" w:name="partii_1a"/>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in our common stock may be speculative and involves a high degree of risk. In addition to the other information contained in this Quarterly Report on Form 10-Q, including our financial statements, and the related notes, schedules and exhibits, you should carefully consider the risk factors described in “Part I, Item 1A. Risk Factors” in our Annual Report on Form 10-K for the fiscal year ended December 31, 2025 (the “Annual Report on Form 10-K”), filed on March 3, 2026, which could materially affect our business, financial condition and/or operating results. The risks described in our Annual Report on Form 10-K are not the only risks facing our Company. Additional risks and uncertainties not currently known to us or that we currently deem to be immaterial also may materially and adversely affect our business, financial condition and/or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the risk factors previously disclosed in our Annual Report on Form 10-K. The risks previously disclosed in the Annual Report on Form 10-K should be read together with the other information disclosed elsewhere in this Quarterly Report on Form 10-Q and our other reports filed with the SEC.</w:t>
      </w:r>
    </w:p>
    <w:p>
      <w:pPr>
        <w:pStyle w:val="TextBody"/>
        <w:bidi w:val="0"/>
        <w:spacing w:before="120" w:after="283"/>
        <w:jc w:val="left"/>
        <w:rPr>
          <w:rFonts w:ascii="Times New Roman" w:hAnsi="Times New Roman"/>
          <w:b/>
          <w:color w:val="000000"/>
          <w:sz w:val="20"/>
        </w:rPr>
      </w:pPr>
      <w:bookmarkStart w:id="15" w:name="partii_2"/>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Sales of Unregistered Securities,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22, 2018, the Board authorized the Company to initiate the Stock Repurchase Program under which the Company could acquire up to $10.0 million of its outstanding common stock through the two-year period ended May 22, 2020.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each of May 4, 2020, May 3, 2022 and April 30, 2024, our Board extended the Stock Repurchase Program for additional two-year periods. On April 28, 2026, the Board extended the Stock Repurchase Program for the two-year period ending May 22, 2028. Under the extended Stock Repurchase Program, the Company is authorized to repurchase shares in open-market transactions, including through block purchases, depending on prevailing market conditions and other factors. The Company expects the Stock Repurchase Program to be in place through May 22, 2028, or until the approved dollar amount has been used to repurchase shares. The Stock Repurchase Program does not obligate the Company to acquire any specific number of shares, and all repurchases will be made in accordance with SEC Rule 10b-18, which sets certain restrictions on the method, timing, price and volume of stock repurchases. The Stock Repurchase Program may be extended, modified or discontinued at any time for any reason. The Company retires all shares of common stock that it purchases in connection with the Stock Repurchase Program. As of June 30, 2026, the approximate dollar value of shares remaining that may be purchased under the program was $9.6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the Company did not make any repurchases of its common stock on the open market under the Stock Repurchase Program.</w:t>
      </w:r>
    </w:p>
    <w:p>
      <w:pPr>
        <w:pStyle w:val="TextBody"/>
        <w:bidi w:val="0"/>
        <w:spacing w:before="120" w:after="283"/>
        <w:jc w:val="left"/>
        <w:rPr>
          <w:rFonts w:ascii="Times New Roman" w:hAnsi="Times New Roman"/>
          <w:b/>
          <w:color w:val="000000"/>
          <w:sz w:val="20"/>
        </w:rPr>
      </w:pPr>
      <w:bookmarkStart w:id="16" w:name="partii_3"/>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b/>
          <w:color w:val="000000"/>
          <w:sz w:val="20"/>
        </w:rPr>
      </w:pPr>
      <w:bookmarkStart w:id="17" w:name="partii_4"/>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8" w:name="partii_5"/>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no director or officer of the Company adopted or terminated a “Rule 10b5-1 trading arrangement” or “non-Rule 10b5-1 trading arrangement,” as each term is defined in Item 408(a) of Regulation S-K.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Price Range of Common Stock and Distributions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common stock is traded on The Nasdaq Global Select Market under the symbol “OFS”. The following table lists the high and low intraday sale price for the Company’s common stock, NAV per share, and the cash distributions per share that were declared on its common stock for each fiscal quarter during the last two most recently completed fiscal years and each full fiscal quarter of the current fiscal year. The last reported sale price for our common stock on The Nasdaq Global Select Market on June 30, 2026 was $3.54 per share.</w:t>
      </w:r>
    </w:p>
    <w:p>
      <w:pPr>
        <w:pStyle w:val="TextBody"/>
        <w:bidi w:val="0"/>
        <w:jc w:val="left"/>
        <w:rPr/>
      </w:pPr>
      <w:r>
        <w:rPr/>
        <w:t> </w:t>
      </w:r>
    </w:p>
    <w:tbl>
      <w:tblPr>
        <w:tblW w:w="9720" w:type="dxa"/>
        <w:jc w:val="left"/>
        <w:tblInd w:w="0" w:type="dxa"/>
        <w:tblLayout w:type="fixed"/>
        <w:tblCellMar>
          <w:top w:w="28" w:type="dxa"/>
          <w:left w:w="28" w:type="dxa"/>
          <w:bottom w:w="28" w:type="dxa"/>
          <w:right w:w="28" w:type="dxa"/>
        </w:tblCellMar>
      </w:tblPr>
      <w:tblGrid>
        <w:gridCol w:w="1366"/>
        <w:gridCol w:w="146"/>
        <w:gridCol w:w="211"/>
        <w:gridCol w:w="571"/>
        <w:gridCol w:w="146"/>
        <w:gridCol w:w="146"/>
        <w:gridCol w:w="211"/>
        <w:gridCol w:w="571"/>
        <w:gridCol w:w="146"/>
        <w:gridCol w:w="146"/>
        <w:gridCol w:w="211"/>
        <w:gridCol w:w="466"/>
        <w:gridCol w:w="146"/>
        <w:gridCol w:w="146"/>
        <w:gridCol w:w="321"/>
        <w:gridCol w:w="1164"/>
        <w:gridCol w:w="331"/>
        <w:gridCol w:w="146"/>
        <w:gridCol w:w="321"/>
        <w:gridCol w:w="1164"/>
        <w:gridCol w:w="331"/>
        <w:gridCol w:w="146"/>
        <w:gridCol w:w="304"/>
        <w:gridCol w:w="672"/>
        <w:gridCol w:w="19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Range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Premium</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Premium</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NAV Per</w:t>
              <w:br/>
              <w:t>Share</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High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Low</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(Discount) of High</w:t>
              <w:br/>
              <w:t>Sales Price to NAV</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(Discount) of Low</w:t>
              <w:br/>
              <w:t>Sales Price to NAV</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Distribution</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Fiscal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Fiscal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Fourth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Fiscal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Fourth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Quarter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Quarter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NAV per share is determined as of the last day in the relevant quarter and therefore may not reflect the NAV per share on the date of the high and low sales prices. The NAVs shown are based on outstanding shares at the end of each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bookmarkStart w:id="19" w:name="partii_6"/>
      <w:bookmarkEnd w:id="19"/>
      <w:r>
        <w:rPr>
          <w:rFonts w:ascii="Times New Roman" w:hAnsi="Times New Roman"/>
          <w:b/>
          <w:color w:val="000000"/>
          <w:sz w:val="20"/>
        </w:rPr>
        <w:t>Item 6. Exhibits</w:t>
      </w:r>
    </w:p>
    <w:p>
      <w:pPr>
        <w:pStyle w:val="TextBody"/>
        <w:bidi w:val="0"/>
        <w:jc w:val="left"/>
        <w:rPr>
          <w:rFonts w:ascii="Times New Roman" w:hAnsi="Times New Roman"/>
          <w:color w:val="000000"/>
          <w:sz w:val="20"/>
        </w:rPr>
      </w:pPr>
      <w:r>
        <w:rPr>
          <w:rFonts w:ascii="Times New Roman" w:hAnsi="Times New Roman"/>
          <w:color w:val="000000"/>
          <w:sz w:val="20"/>
        </w:rPr>
        <w:t>Listed below are the exhibits that are filed as part of this report (according to the number assigned to them in Item 601 of Regulation S-K):</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6"/>
        <w:gridCol w:w="146"/>
        <w:gridCol w:w="6332"/>
        <w:gridCol w:w="1256"/>
        <w:gridCol w:w="917"/>
        <w:gridCol w:w="728"/>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3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32" w:type="dxa"/>
            <w:tcBorders/>
            <w:tcMar>
              <w:top w:w="0" w:type="dxa"/>
              <w:left w:w="0" w:type="dxa"/>
              <w:bottom w:w="0" w:type="dxa"/>
              <w:right w:w="0" w:type="dxa"/>
            </w:tcMar>
            <w:vAlign w:val="center"/>
          </w:tcPr>
          <w:p>
            <w:pPr>
              <w:pStyle w:val="TableContents"/>
              <w:bidi w:val="0"/>
              <w:spacing w:before="0" w:after="283"/>
              <w:jc w:val="left"/>
              <w:rPr/>
            </w:pPr>
            <w:r>
              <w:rPr/>
              <w:t> </w:t>
            </w:r>
          </w:p>
        </w:tc>
        <w:tc>
          <w:tcPr>
            <w:tcW w:w="2173" w:type="dxa"/>
            <w:gridSpan w:val="2"/>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b/>
                <w:color w:val="000000"/>
                <w:sz w:val="20"/>
              </w:rPr>
            </w:pPr>
            <w:r>
              <w:rPr>
                <w:rFonts w:ascii="Times New Roman" w:hAnsi="Times New Roman"/>
                <w:b/>
                <w:color w:val="000000"/>
                <w:sz w:val="20"/>
              </w:rPr>
              <w:t>Incorporated by Reference</w:t>
            </w:r>
          </w:p>
        </w:tc>
        <w:tc>
          <w:tcPr>
            <w:tcW w:w="7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26" w:type="dxa"/>
            <w:tcBorders>
              <w:bottom w:val="single" w:sz="8" w:space="0" w:color="000000"/>
            </w:tcBorders>
            <w:tcMar>
              <w:top w:w="0" w:type="dxa"/>
              <w:left w:w="0" w:type="dxa"/>
              <w:right w:w="0" w:type="dxa"/>
            </w:tcMar>
            <w:vAlign w:val="center"/>
          </w:tcPr>
          <w:p>
            <w:pPr>
              <w:pStyle w:val="TableContents"/>
              <w:bidi w:val="0"/>
              <w:spacing w:before="33" w:after="283"/>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30"/>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32" w:type="dxa"/>
            <w:tcBorders>
              <w:bottom w:val="single" w:sz="8" w:space="0" w:color="000000"/>
            </w:tcBorders>
            <w:tcMar>
              <w:top w:w="0" w:type="dxa"/>
              <w:left w:w="0" w:type="dxa"/>
              <w:right w:w="0" w:type="dxa"/>
            </w:tcMar>
            <w:vAlign w:val="center"/>
          </w:tcPr>
          <w:p>
            <w:pPr>
              <w:pStyle w:val="TableContents"/>
              <w:bidi w:val="0"/>
              <w:spacing w:before="33" w:after="30"/>
              <w:jc w:val="center"/>
              <w:rPr>
                <w:rFonts w:ascii="Times New Roman" w:hAnsi="Times New Roman"/>
                <w:b/>
                <w:color w:val="000000"/>
                <w:sz w:val="20"/>
              </w:rPr>
            </w:pPr>
            <w:r>
              <w:rPr>
                <w:rFonts w:ascii="Times New Roman" w:hAnsi="Times New Roman"/>
                <w:b/>
                <w:color w:val="000000"/>
                <w:sz w:val="20"/>
              </w:rPr>
              <w:t>Description</w:t>
            </w:r>
          </w:p>
        </w:tc>
        <w:tc>
          <w:tcPr>
            <w:tcW w:w="1256" w:type="dxa"/>
            <w:tcBorders>
              <w:bottom w:val="single" w:sz="8" w:space="0" w:color="000000"/>
            </w:tcBorders>
            <w:tcMar>
              <w:top w:w="0" w:type="dxa"/>
              <w:left w:w="0" w:type="dxa"/>
              <w:right w:w="0" w:type="dxa"/>
            </w:tcMar>
            <w:vAlign w:val="center"/>
          </w:tcPr>
          <w:p>
            <w:pPr>
              <w:pStyle w:val="TableContents"/>
              <w:bidi w:val="0"/>
              <w:spacing w:before="33" w:after="30"/>
              <w:jc w:val="center"/>
              <w:rPr>
                <w:rFonts w:ascii="Times New Roman" w:hAnsi="Times New Roman"/>
                <w:b/>
                <w:color w:val="000000"/>
                <w:sz w:val="20"/>
              </w:rPr>
            </w:pPr>
            <w:r>
              <w:rPr>
                <w:rFonts w:ascii="Times New Roman" w:hAnsi="Times New Roman"/>
                <w:b/>
                <w:color w:val="000000"/>
                <w:sz w:val="20"/>
              </w:rPr>
              <w:t>Form and SEC</w:t>
            </w:r>
          </w:p>
          <w:p>
            <w:pPr>
              <w:pStyle w:val="TableContents"/>
              <w:bidi w:val="0"/>
              <w:spacing w:before="3" w:after="30"/>
              <w:jc w:val="center"/>
              <w:rPr>
                <w:rFonts w:ascii="Times New Roman" w:hAnsi="Times New Roman"/>
                <w:b/>
                <w:color w:val="000000"/>
                <w:sz w:val="20"/>
              </w:rPr>
            </w:pPr>
            <w:r>
              <w:rPr>
                <w:rFonts w:ascii="Times New Roman" w:hAnsi="Times New Roman"/>
                <w:b/>
                <w:color w:val="000000"/>
                <w:sz w:val="20"/>
              </w:rPr>
              <w:t>File No.</w:t>
            </w:r>
          </w:p>
        </w:tc>
        <w:tc>
          <w:tcPr>
            <w:tcW w:w="917" w:type="dxa"/>
            <w:tcBorders>
              <w:bottom w:val="single" w:sz="8" w:space="0" w:color="000000"/>
            </w:tcBorders>
            <w:tcMar>
              <w:top w:w="0" w:type="dxa"/>
              <w:left w:w="0" w:type="dxa"/>
              <w:right w:w="0" w:type="dxa"/>
            </w:tcMar>
            <w:vAlign w:val="center"/>
          </w:tcPr>
          <w:p>
            <w:pPr>
              <w:pStyle w:val="TableContents"/>
              <w:bidi w:val="0"/>
              <w:spacing w:before="33" w:after="30"/>
              <w:jc w:val="center"/>
              <w:rPr>
                <w:rFonts w:ascii="Times New Roman" w:hAnsi="Times New Roman"/>
                <w:b/>
                <w:color w:val="000000"/>
                <w:sz w:val="20"/>
              </w:rPr>
            </w:pPr>
            <w:r>
              <w:rPr>
                <w:rFonts w:ascii="Times New Roman" w:hAnsi="Times New Roman"/>
                <w:b/>
                <w:color w:val="000000"/>
                <w:sz w:val="20"/>
              </w:rPr>
              <w:t>Filing Date with</w:t>
            </w:r>
          </w:p>
          <w:p>
            <w:pPr>
              <w:pStyle w:val="TableContents"/>
              <w:bidi w:val="0"/>
              <w:spacing w:before="3" w:after="30"/>
              <w:jc w:val="center"/>
              <w:rPr>
                <w:rFonts w:ascii="Times New Roman" w:hAnsi="Times New Roman"/>
                <w:b/>
                <w:color w:val="000000"/>
                <w:sz w:val="20"/>
              </w:rPr>
            </w:pPr>
            <w:r>
              <w:rPr>
                <w:rFonts w:ascii="Times New Roman" w:hAnsi="Times New Roman"/>
                <w:b/>
                <w:color w:val="000000"/>
                <w:sz w:val="20"/>
              </w:rPr>
              <w:t>SEC</w:t>
            </w:r>
          </w:p>
        </w:tc>
        <w:tc>
          <w:tcPr>
            <w:tcW w:w="728" w:type="dxa"/>
            <w:tcBorders>
              <w:bottom w:val="single" w:sz="8" w:space="0" w:color="000000"/>
            </w:tcBorders>
            <w:tcMar>
              <w:top w:w="0" w:type="dxa"/>
              <w:left w:w="0" w:type="dxa"/>
              <w:right w:w="0" w:type="dxa"/>
            </w:tcMar>
            <w:vAlign w:val="center"/>
          </w:tcPr>
          <w:p>
            <w:pPr>
              <w:pStyle w:val="TableContents"/>
              <w:bidi w:val="0"/>
              <w:spacing w:before="33" w:after="30"/>
              <w:jc w:val="center"/>
              <w:rPr>
                <w:rFonts w:ascii="Times New Roman" w:hAnsi="Times New Roman"/>
                <w:b/>
                <w:color w:val="000000"/>
                <w:sz w:val="20"/>
              </w:rPr>
            </w:pPr>
            <w:r>
              <w:rPr>
                <w:rFonts w:ascii="Times New Roman" w:hAnsi="Times New Roman"/>
                <w:b/>
                <w:color w:val="000000"/>
                <w:sz w:val="20"/>
              </w:rPr>
              <w:t>Filed with</w:t>
            </w:r>
          </w:p>
          <w:p>
            <w:pPr>
              <w:pStyle w:val="TableContents"/>
              <w:bidi w:val="0"/>
              <w:spacing w:before="3" w:after="30"/>
              <w:jc w:val="center"/>
              <w:rPr>
                <w:rFonts w:ascii="Times New Roman" w:hAnsi="Times New Roman"/>
                <w:b/>
                <w:color w:val="000000"/>
                <w:sz w:val="20"/>
              </w:rPr>
            </w:pPr>
            <w:r>
              <w:rPr>
                <w:rFonts w:ascii="Times New Roman" w:hAnsi="Times New Roman"/>
                <w:b/>
                <w:color w:val="000000"/>
                <w:sz w:val="20"/>
              </w:rPr>
              <w:t>this 10-Q</w:t>
            </w:r>
          </w:p>
        </w:tc>
      </w:tr>
      <w:tr>
        <w:trPr/>
        <w:tc>
          <w:tcPr>
            <w:tcW w:w="826"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32" w:type="dxa"/>
            <w:tcBorders/>
            <w:tcMar>
              <w:top w:w="0" w:type="dxa"/>
              <w:left w:w="0" w:type="dxa"/>
              <w:bottom w:w="0" w:type="dxa"/>
              <w:right w:w="0" w:type="dxa"/>
            </w:tcMar>
            <w:vAlign w:val="center"/>
          </w:tcPr>
          <w:p>
            <w:pPr>
              <w:pStyle w:val="TableContents"/>
              <w:bidi w:val="0"/>
              <w:spacing w:before="33" w:after="30"/>
              <w:jc w:val="left"/>
              <w:rPr/>
            </w:pPr>
            <w:hyperlink r:id="rId2">
              <w:r>
                <w:rPr>
                  <w:rStyle w:val="InternetLink"/>
                  <w:rFonts w:ascii="Times New Roman" w:hAnsi="Times New Roman"/>
                  <w:color w:val="0000FF"/>
                  <w:sz w:val="20"/>
                  <w:u w:val="single"/>
                </w:rPr>
                <w:t>Certificate of Incorporation of OFS Capital Corporation</w:t>
              </w:r>
            </w:hyperlink>
          </w:p>
        </w:tc>
        <w:tc>
          <w:tcPr>
            <w:tcW w:w="1256" w:type="dxa"/>
            <w:tcBorders/>
            <w:tcMar>
              <w:top w:w="0" w:type="dxa"/>
              <w:left w:w="0" w:type="dxa"/>
              <w:bottom w:w="0" w:type="dxa"/>
              <w:right w:w="0" w:type="dxa"/>
            </w:tcMar>
            <w:vAlign w:val="center"/>
          </w:tcPr>
          <w:p>
            <w:pPr>
              <w:pStyle w:val="TableContents"/>
              <w:bidi w:val="0"/>
              <w:spacing w:before="33" w:after="283"/>
              <w:jc w:val="center"/>
              <w:rPr>
                <w:rFonts w:ascii="Times New Roman" w:hAnsi="Times New Roman"/>
                <w:color w:val="000000"/>
                <w:sz w:val="20"/>
              </w:rPr>
            </w:pPr>
            <w:r>
              <w:rPr>
                <w:rFonts w:ascii="Times New Roman" w:hAnsi="Times New Roman"/>
                <w:color w:val="000000"/>
                <w:sz w:val="20"/>
              </w:rPr>
              <w:t>Form N-2/A (333-166363)</w:t>
            </w:r>
          </w:p>
        </w:tc>
        <w:tc>
          <w:tcPr>
            <w:tcW w:w="917"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color w:val="000000"/>
                <w:sz w:val="20"/>
              </w:rPr>
            </w:pPr>
            <w:r>
              <w:rPr>
                <w:rFonts w:ascii="Times New Roman" w:hAnsi="Times New Roman"/>
                <w:color w:val="000000"/>
                <w:sz w:val="20"/>
              </w:rPr>
              <w:t>March 18, 2011</w:t>
            </w:r>
          </w:p>
        </w:tc>
        <w:tc>
          <w:tcPr>
            <w:tcW w:w="7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32" w:type="dxa"/>
            <w:tcBorders/>
            <w:tcMar>
              <w:top w:w="0" w:type="dxa"/>
              <w:left w:w="0" w:type="dxa"/>
              <w:bottom w:w="0" w:type="dxa"/>
              <w:right w:w="0" w:type="dxa"/>
            </w:tcMar>
            <w:vAlign w:val="center"/>
          </w:tcPr>
          <w:p>
            <w:pPr>
              <w:pStyle w:val="TableContents"/>
              <w:bidi w:val="0"/>
              <w:spacing w:before="53" w:after="30"/>
              <w:jc w:val="left"/>
              <w:rPr/>
            </w:pPr>
            <w:hyperlink r:id="rId3">
              <w:r>
                <w:rPr>
                  <w:rStyle w:val="InternetLink"/>
                  <w:rFonts w:ascii="Times New Roman" w:hAnsi="Times New Roman"/>
                  <w:color w:val="0000FF"/>
                  <w:sz w:val="20"/>
                  <w:u w:val="single"/>
                </w:rPr>
                <w:t>Certificate of Correction to Certificate of Incorporation of OFS Capital Corporation</w:t>
              </w:r>
            </w:hyperlink>
          </w:p>
        </w:tc>
        <w:tc>
          <w:tcPr>
            <w:tcW w:w="125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Form 10-K (814-00813)</w:t>
            </w:r>
          </w:p>
        </w:tc>
        <w:tc>
          <w:tcPr>
            <w:tcW w:w="917"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March 26, 2013</w:t>
            </w:r>
          </w:p>
        </w:tc>
        <w:tc>
          <w:tcPr>
            <w:tcW w:w="7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32" w:type="dxa"/>
            <w:tcBorders/>
            <w:tcMar>
              <w:top w:w="0" w:type="dxa"/>
              <w:left w:w="0" w:type="dxa"/>
              <w:bottom w:w="0" w:type="dxa"/>
              <w:right w:w="0" w:type="dxa"/>
            </w:tcMar>
            <w:vAlign w:val="center"/>
          </w:tcPr>
          <w:p>
            <w:pPr>
              <w:pStyle w:val="TableContents"/>
              <w:bidi w:val="0"/>
              <w:spacing w:before="53" w:after="30"/>
              <w:jc w:val="left"/>
              <w:rPr/>
            </w:pPr>
            <w:hyperlink r:id="rId4">
              <w:r>
                <w:rPr>
                  <w:rStyle w:val="InternetLink"/>
                  <w:rFonts w:ascii="Times New Roman" w:hAnsi="Times New Roman"/>
                  <w:color w:val="0000FF"/>
                  <w:sz w:val="20"/>
                  <w:u w:val="single"/>
                </w:rPr>
                <w:t>Bylaws of OFS Capital Corporation</w:t>
              </w:r>
            </w:hyperlink>
          </w:p>
        </w:tc>
        <w:tc>
          <w:tcPr>
            <w:tcW w:w="1256" w:type="dxa"/>
            <w:tcBorders/>
            <w:tcMar>
              <w:top w:w="0" w:type="dxa"/>
              <w:left w:w="0" w:type="dxa"/>
              <w:bottom w:w="0" w:type="dxa"/>
              <w:right w:w="0" w:type="dxa"/>
            </w:tcMar>
            <w:vAlign w:val="center"/>
          </w:tcPr>
          <w:p>
            <w:pPr>
              <w:pStyle w:val="TableContents"/>
              <w:bidi w:val="0"/>
              <w:spacing w:before="53" w:after="283"/>
              <w:jc w:val="center"/>
              <w:rPr>
                <w:rFonts w:ascii="Times New Roman" w:hAnsi="Times New Roman"/>
                <w:color w:val="000000"/>
                <w:sz w:val="20"/>
              </w:rPr>
            </w:pPr>
            <w:r>
              <w:rPr>
                <w:rFonts w:ascii="Times New Roman" w:hAnsi="Times New Roman"/>
                <w:color w:val="000000"/>
                <w:sz w:val="20"/>
              </w:rPr>
              <w:t>Form N-2/A (333-166363)</w:t>
            </w:r>
          </w:p>
        </w:tc>
        <w:tc>
          <w:tcPr>
            <w:tcW w:w="917"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March 18, 2011</w:t>
            </w:r>
          </w:p>
        </w:tc>
        <w:tc>
          <w:tcPr>
            <w:tcW w:w="7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 xml:space="preserve">31.1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2" w:type="dxa"/>
            <w:tcBorders/>
            <w:tcMar>
              <w:top w:w="0" w:type="dxa"/>
              <w:left w:w="0" w:type="dxa"/>
              <w:bottom w:w="0" w:type="dxa"/>
              <w:right w:w="0" w:type="dxa"/>
            </w:tcMar>
            <w:vAlign w:val="center"/>
          </w:tcPr>
          <w:p>
            <w:pPr>
              <w:pStyle w:val="TableContents"/>
              <w:bidi w:val="0"/>
              <w:spacing w:before="53" w:after="30"/>
              <w:jc w:val="left"/>
              <w:rPr/>
            </w:pPr>
            <w:hyperlink w:anchor="ofs-ex31_1.htm">
              <w:r>
                <w:rPr>
                  <w:rStyle w:val="InternetLink"/>
                  <w:rFonts w:ascii="Times New Roman" w:hAnsi="Times New Roman"/>
                  <w:color w:val="0000FF"/>
                  <w:sz w:val="20"/>
                  <w:u w:val="single"/>
                </w:rPr>
                <w:t>Certification of Chief Executive Officer pursuant to Rules 13a-14 and 15d-14(a) of the Securities Exchange Act of 1934, as Adopted Pursuant to Section 302 of the Sarbanes-Oxley Act of 2002</w:t>
              </w:r>
            </w:hyperlink>
            <w:r>
              <w:rPr>
                <w:rFonts w:ascii="Times New Roman" w:hAnsi="Times New Roman"/>
                <w:color w:val="000000"/>
                <w:sz w:val="20"/>
              </w:rPr>
              <w:t xml:space="preserve"> </w:t>
            </w:r>
          </w:p>
        </w:tc>
        <w:tc>
          <w:tcPr>
            <w:tcW w:w="125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r>
      <w:tr>
        <w:trPr/>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 xml:space="preserve">31.2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2" w:type="dxa"/>
            <w:tcBorders/>
            <w:tcMar>
              <w:top w:w="0" w:type="dxa"/>
              <w:left w:w="0" w:type="dxa"/>
              <w:bottom w:w="0" w:type="dxa"/>
              <w:right w:w="0" w:type="dxa"/>
            </w:tcMar>
            <w:vAlign w:val="center"/>
          </w:tcPr>
          <w:p>
            <w:pPr>
              <w:pStyle w:val="TableContents"/>
              <w:bidi w:val="0"/>
              <w:spacing w:before="53" w:after="30"/>
              <w:jc w:val="left"/>
              <w:rPr/>
            </w:pPr>
            <w:hyperlink w:anchor="ofs-ex31_2.htm">
              <w:r>
                <w:rPr>
                  <w:rStyle w:val="InternetLink"/>
                  <w:rFonts w:ascii="Times New Roman" w:hAnsi="Times New Roman"/>
                  <w:color w:val="0000FF"/>
                  <w:sz w:val="20"/>
                  <w:u w:val="single"/>
                </w:rPr>
                <w:t>Certification of Chief Financial Officer pursuant to Rules 13a-14 and 15d-14(a) of the Securities Exchange Act of 1934, as Adopted Pursuant to Section 302 of the Sarbanes-Oxley Act of 2002</w:t>
              </w:r>
            </w:hyperlink>
            <w:r>
              <w:rPr>
                <w:rFonts w:ascii="Times New Roman" w:hAnsi="Times New Roman"/>
                <w:color w:val="000000"/>
                <w:sz w:val="20"/>
              </w:rPr>
              <w:t xml:space="preserve"> </w:t>
            </w:r>
          </w:p>
        </w:tc>
        <w:tc>
          <w:tcPr>
            <w:tcW w:w="125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r>
      <w:tr>
        <w:trPr/>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2" w:type="dxa"/>
            <w:tcBorders/>
            <w:tcMar>
              <w:top w:w="0" w:type="dxa"/>
              <w:left w:w="0" w:type="dxa"/>
              <w:bottom w:w="0" w:type="dxa"/>
              <w:right w:w="0" w:type="dxa"/>
            </w:tcMar>
            <w:vAlign w:val="center"/>
          </w:tcPr>
          <w:p>
            <w:pPr>
              <w:pStyle w:val="TableContents"/>
              <w:bidi w:val="0"/>
              <w:spacing w:before="53" w:after="30"/>
              <w:jc w:val="left"/>
              <w:rPr/>
            </w:pPr>
            <w:hyperlink w:anchor="ofs-ex32_1.htm">
              <w:r>
                <w:rPr>
                  <w:rStyle w:val="InternetLink"/>
                  <w:rFonts w:ascii="Times New Roman" w:hAnsi="Times New Roman"/>
                  <w:color w:val="0000FF"/>
                  <w:sz w:val="20"/>
                  <w:u w:val="single"/>
                </w:rPr>
                <w:t>Certification of Chief Executive Officer pursuant to 18 U.S.C. Section 1350, as Adopted Pursuant to Section 906 of the Sarbanes-Oxley Act of 2002</w:t>
              </w:r>
            </w:hyperlink>
          </w:p>
        </w:tc>
        <w:tc>
          <w:tcPr>
            <w:tcW w:w="125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r>
      <w:tr>
        <w:trPr/>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2" w:type="dxa"/>
            <w:tcBorders/>
            <w:tcMar>
              <w:top w:w="0" w:type="dxa"/>
              <w:left w:w="0" w:type="dxa"/>
              <w:bottom w:w="0" w:type="dxa"/>
              <w:right w:w="0" w:type="dxa"/>
            </w:tcMar>
            <w:vAlign w:val="center"/>
          </w:tcPr>
          <w:p>
            <w:pPr>
              <w:pStyle w:val="TableContents"/>
              <w:bidi w:val="0"/>
              <w:spacing w:before="53" w:after="30"/>
              <w:jc w:val="left"/>
              <w:rPr/>
            </w:pPr>
            <w:hyperlink w:anchor="ofs-ex32_2.htm">
              <w:r>
                <w:rPr>
                  <w:rStyle w:val="InternetLink"/>
                  <w:rFonts w:ascii="Times New Roman" w:hAnsi="Times New Roman"/>
                  <w:color w:val="0000FF"/>
                  <w:sz w:val="20"/>
                  <w:u w:val="single"/>
                </w:rPr>
                <w:t>Certification of Chief Financial Officer pursuant to 18 U.S.C. Section 1350, as Adopted Pursuant to Section 906 of the Sarbanes-Oxley Act of 2002</w:t>
              </w:r>
            </w:hyperlink>
          </w:p>
        </w:tc>
        <w:tc>
          <w:tcPr>
            <w:tcW w:w="125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r>
      <w:tr>
        <w:trPr/>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25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r>
      <w:tr>
        <w:trPr/>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25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r>
      <w:tr>
        <w:trPr/>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32"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256" w:type="dxa"/>
            <w:tcBorders/>
            <w:tcMar>
              <w:top w:w="0" w:type="dxa"/>
              <w:left w:w="0" w:type="dxa"/>
              <w:bottom w:w="0" w:type="dxa"/>
              <w:right w:w="0" w:type="dxa"/>
            </w:tcMar>
            <w:vAlign w:val="center"/>
          </w:tcPr>
          <w:p>
            <w:pPr>
              <w:pStyle w:val="TableContents"/>
              <w:bidi w:val="0"/>
              <w:spacing w:before="0" w:after="283"/>
              <w:jc w:val="left"/>
              <w:rPr/>
            </w:pPr>
            <w:r>
              <w:rPr/>
              <w:t> </w:t>
            </w:r>
          </w:p>
        </w:tc>
        <w:tc>
          <w:tcPr>
            <w:tcW w:w="917" w:type="dxa"/>
            <w:tcBorders/>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3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3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4576" w:type="dxa"/>
        <w:jc w:val="left"/>
        <w:tblInd w:w="0" w:type="dxa"/>
        <w:tblLayout w:type="fixed"/>
        <w:tblCellMar>
          <w:top w:w="28" w:type="dxa"/>
          <w:left w:w="28" w:type="dxa"/>
          <w:bottom w:w="28" w:type="dxa"/>
          <w:right w:w="28" w:type="dxa"/>
        </w:tblCellMar>
      </w:tblPr>
      <w:tblGrid>
        <w:gridCol w:w="1816"/>
        <w:gridCol w:w="644"/>
        <w:gridCol w:w="2116"/>
      </w:tblGrid>
      <w:tr>
        <w:trPr/>
        <w:tc>
          <w:tcPr>
            <w:tcW w:w="181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r>
      <w:tr>
        <w:trPr/>
        <w:tc>
          <w:tcPr>
            <w:tcW w:w="181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Dated: July 30, 2026</w:t>
            </w:r>
          </w:p>
        </w:tc>
        <w:tc>
          <w:tcPr>
            <w:tcW w:w="2760" w:type="dxa"/>
            <w:gridSpan w:val="2"/>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OFS CAPITAL CORPORATION</w:t>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tcMar>
              <w:top w:w="0" w:type="dxa"/>
              <w:left w:w="0" w:type="dxa"/>
              <w:bottom w:w="0" w:type="dxa"/>
              <w:right w:w="0" w:type="dxa"/>
            </w:tcMar>
            <w:vAlign w:val="center"/>
          </w:tcPr>
          <w:p>
            <w:pPr>
              <w:pStyle w:val="TableContents"/>
              <w:bidi w:val="0"/>
              <w:spacing w:before="53" w:after="30"/>
              <w:jc w:val="left"/>
              <w:rPr/>
            </w:pPr>
            <w:r>
              <w:rPr/>
              <w:t> </w:t>
            </w:r>
          </w:p>
        </w:tc>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By:</w:t>
            </w:r>
          </w:p>
        </w:tc>
        <w:tc>
          <w:tcPr>
            <w:tcW w:w="2116"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Bilal Rashid</w:t>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Name:</w:t>
            </w:r>
          </w:p>
        </w:tc>
        <w:tc>
          <w:tcPr>
            <w:tcW w:w="2116"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Bilal Rashid</w:t>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Title:</w:t>
            </w:r>
          </w:p>
        </w:tc>
        <w:tc>
          <w:tcPr>
            <w:tcW w:w="211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Executive Officer</w:t>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tcMar>
              <w:top w:w="0" w:type="dxa"/>
              <w:left w:w="0" w:type="dxa"/>
              <w:bottom w:w="0" w:type="dxa"/>
              <w:right w:w="0" w:type="dxa"/>
            </w:tcMar>
            <w:vAlign w:val="center"/>
          </w:tcPr>
          <w:p>
            <w:pPr>
              <w:pStyle w:val="TableContents"/>
              <w:bidi w:val="0"/>
              <w:spacing w:before="53" w:after="30"/>
              <w:jc w:val="left"/>
              <w:rPr/>
            </w:pPr>
            <w:r>
              <w:rPr/>
              <w:t> </w:t>
            </w:r>
          </w:p>
        </w:tc>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By:</w:t>
            </w:r>
          </w:p>
        </w:tc>
        <w:tc>
          <w:tcPr>
            <w:tcW w:w="2116"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Kyle Spina</w:t>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Name:</w:t>
            </w:r>
          </w:p>
        </w:tc>
        <w:tc>
          <w:tcPr>
            <w:tcW w:w="2116"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Kyle Spina</w:t>
            </w:r>
          </w:p>
        </w:tc>
      </w:tr>
      <w:tr>
        <w:trPr/>
        <w:tc>
          <w:tcPr>
            <w:tcW w:w="1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Title:</w:t>
            </w:r>
          </w:p>
        </w:tc>
        <w:tc>
          <w:tcPr>
            <w:tcW w:w="211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bookmarkStart w:id="21" w:name="ofs-ex31_1.htm"/>
      <w:bookmarkStart w:id="22" w:name="ksofsex31_1"/>
      <w:bookmarkEnd w:id="21"/>
      <w:bookmarkEnd w:id="22"/>
      <w:r>
        <w:rPr/>
        <w:t> </w:t>
      </w:r>
      <w:r>
        <w:br w:type="page"/>
      </w:r>
    </w:p>
    <w:p>
      <w:pPr>
        <w:pStyle w:val="TextBody"/>
        <w:bidi w:val="0"/>
        <w:jc w:val="right"/>
        <w:rPr>
          <w:rFonts w:ascii="Times New Roman" w:hAnsi="Times New Roman"/>
          <w:b/>
          <w:color w:val="000000"/>
          <w:sz w:val="20"/>
        </w:rPr>
      </w:pPr>
      <w:bookmarkStart w:id="23" w:name="section1"/>
      <w:bookmarkEnd w:id="23"/>
      <w:r>
        <w:rPr>
          <w:rFonts w:ascii="Times New Roman" w:hAnsi="Times New Roman"/>
          <w:b/>
          <w:color w:val="000000"/>
          <w:sz w:val="20"/>
        </w:rPr>
        <w:t>Exhibit 31.1</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Bilal Rashid, Chief Executive Officer of OFS Capital Corporation,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 I have reviewed this quarterly report on Form 10-Q of OFS Capital Corporation (the “Registrant”);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Dated this 30th day of July, 2026.</w:t>
      </w:r>
    </w:p>
    <w:p>
      <w:pPr>
        <w:pStyle w:val="TextBody"/>
        <w:bidi w:val="0"/>
        <w:jc w:val="left"/>
        <w:rPr/>
      </w:pPr>
      <w:r>
        <w:rPr/>
        <w:t> </w:t>
      </w:r>
    </w:p>
    <w:tbl>
      <w:tblPr>
        <w:tblW w:w="2661" w:type="dxa"/>
        <w:jc w:val="left"/>
        <w:tblInd w:w="0" w:type="dxa"/>
        <w:tblLayout w:type="fixed"/>
        <w:tblCellMar>
          <w:top w:w="28" w:type="dxa"/>
          <w:left w:w="28" w:type="dxa"/>
          <w:bottom w:w="28" w:type="dxa"/>
          <w:right w:w="28" w:type="dxa"/>
        </w:tblCellMar>
      </w:tblPr>
      <w:tblGrid>
        <w:gridCol w:w="421"/>
        <w:gridCol w:w="2086"/>
        <w:gridCol w:w="154"/>
      </w:tblGrid>
      <w:tr>
        <w:trPr/>
        <w:tc>
          <w:tcPr>
            <w:tcW w:w="421"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By:</w:t>
            </w:r>
          </w:p>
        </w:tc>
        <w:tc>
          <w:tcPr>
            <w:tcW w:w="2086"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/s/ Bilal Rashid</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b/>
                <w:color w:val="000000"/>
                <w:sz w:val="20"/>
              </w:rPr>
            </w:pPr>
            <w:r>
              <w:rPr>
                <w:rFonts w:ascii="Times New Roman" w:hAnsi="Times New Roman"/>
                <w:b/>
                <w:color w:val="000000"/>
                <w:sz w:val="20"/>
              </w:rPr>
              <w:t>Bilal Rashid</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20"/>
              </w:rPr>
            </w:pPr>
            <w:r>
              <w:rPr>
                <w:rFonts w:ascii="Times New Roman" w:hAnsi="Times New Roman"/>
                <w:b/>
                <w:color w:val="000000"/>
                <w:sz w:val="20"/>
              </w:rPr>
              <w:t>Chief Executive Officer</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ofs-ex31_2.htm"/>
      <w:bookmarkStart w:id="25" w:name="ksofsex31_2"/>
      <w:bookmarkEnd w:id="24"/>
      <w:bookmarkEnd w:id="25"/>
      <w:r>
        <w:rPr/>
        <w:t> </w:t>
      </w:r>
      <w:r>
        <w:br w:type="page"/>
      </w:r>
    </w:p>
    <w:p>
      <w:pPr>
        <w:pStyle w:val="TextBody"/>
        <w:bidi w:val="0"/>
        <w:jc w:val="right"/>
        <w:rPr>
          <w:rFonts w:ascii="Times New Roman" w:hAnsi="Times New Roman"/>
          <w:b/>
          <w:color w:val="000000"/>
          <w:sz w:val="20"/>
        </w:rPr>
      </w:pPr>
      <w:bookmarkStart w:id="26" w:name="section11"/>
      <w:bookmarkEnd w:id="26"/>
      <w:r>
        <w:rPr>
          <w:rFonts w:ascii="Times New Roman" w:hAnsi="Times New Roman"/>
          <w:b/>
          <w:color w:val="000000"/>
          <w:sz w:val="20"/>
        </w:rPr>
        <w:t>Exhibit 31.2</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Kyle Spina, Chief Financial Officer of OFS Capital Corporation,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 I have reviewed this quarterly report on Form 10-Q of OFS Capital Corporation (the “Registrant”);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Dated this 30th day of July, 2026.</w:t>
      </w:r>
    </w:p>
    <w:tbl>
      <w:tblPr>
        <w:tblW w:w="2631" w:type="dxa"/>
        <w:jc w:val="left"/>
        <w:tblInd w:w="0" w:type="dxa"/>
        <w:tblLayout w:type="fixed"/>
        <w:tblCellMar>
          <w:top w:w="28" w:type="dxa"/>
          <w:left w:w="28" w:type="dxa"/>
          <w:bottom w:w="28" w:type="dxa"/>
          <w:right w:w="28" w:type="dxa"/>
        </w:tblCellMar>
      </w:tblPr>
      <w:tblGrid>
        <w:gridCol w:w="421"/>
        <w:gridCol w:w="2056"/>
        <w:gridCol w:w="154"/>
      </w:tblGrid>
      <w:tr>
        <w:trPr/>
        <w:tc>
          <w:tcPr>
            <w:tcW w:w="421"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By:</w:t>
            </w:r>
          </w:p>
        </w:tc>
        <w:tc>
          <w:tcPr>
            <w:tcW w:w="2056"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/s/ Kyle Spina</w:t>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b/>
                <w:color w:val="000000"/>
                <w:sz w:val="20"/>
              </w:rPr>
            </w:pPr>
            <w:r>
              <w:rPr>
                <w:rFonts w:ascii="Times New Roman" w:hAnsi="Times New Roman"/>
                <w:b/>
                <w:color w:val="000000"/>
                <w:sz w:val="20"/>
              </w:rPr>
              <w:t>Kyle Spina</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20"/>
              </w:rPr>
            </w:pPr>
            <w:r>
              <w:rPr>
                <w:rFonts w:ascii="Times New Roman" w:hAnsi="Times New Roman"/>
                <w:b/>
                <w:color w:val="000000"/>
                <w:sz w:val="20"/>
              </w:rPr>
              <w:t>Chief Financial Officer</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ofs-ex32_1.htm"/>
      <w:bookmarkStart w:id="28" w:name="ksofsex32_1"/>
      <w:bookmarkEnd w:id="27"/>
      <w:bookmarkEnd w:id="28"/>
      <w:r>
        <w:rPr/>
        <w:t> </w:t>
      </w:r>
      <w:r>
        <w:br w:type="page"/>
      </w:r>
    </w:p>
    <w:p>
      <w:pPr>
        <w:pStyle w:val="TextBody"/>
        <w:bidi w:val="0"/>
        <w:jc w:val="right"/>
        <w:rPr>
          <w:rFonts w:ascii="Times New Roman" w:hAnsi="Times New Roman"/>
          <w:b/>
          <w:color w:val="000000"/>
          <w:sz w:val="20"/>
        </w:rPr>
      </w:pPr>
      <w:bookmarkStart w:id="29" w:name="section12"/>
      <w:bookmarkEnd w:id="29"/>
      <w:r>
        <w:rPr>
          <w:rFonts w:ascii="Times New Roman" w:hAnsi="Times New Roman"/>
          <w:b/>
          <w:color w:val="000000"/>
          <w:sz w:val="20"/>
        </w:rPr>
        <w:t>Exhibit 32.1</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spacing w:before="100" w:after="100"/>
        <w:jc w:val="center"/>
        <w:rPr>
          <w:rFonts w:ascii="Times New Roman" w:hAnsi="Times New Roman"/>
          <w:sz w:val="20"/>
        </w:rPr>
      </w:pPr>
      <w:r>
        <w:rPr>
          <w:rFonts w:ascii="Times New Roman" w:hAnsi="Times New Roman"/>
          <w:b/>
          <w:color w:val="000000"/>
          <w:sz w:val="20"/>
        </w:rPr>
        <w:t>Pursuant to 18 U.S.C. Section 1350, as adopted Pursuant to</w:t>
      </w:r>
      <w:r>
        <w:rPr>
          <w:rFonts w:ascii="Times New Roman" w:hAnsi="Times New Roman"/>
          <w:color w:val="000000"/>
          <w:sz w:val="20"/>
        </w:rPr>
        <w:t xml:space="preserve"> </w:t>
      </w:r>
    </w:p>
    <w:p>
      <w:pPr>
        <w:pStyle w:val="TextBody"/>
        <w:bidi w:val="0"/>
        <w:spacing w:before="0" w:after="10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for the period ended June 30, 2026 (the “Report”) of OFS Capital Corporation (the “Registrant”), as filed with the Securities and Exchange Commission on the date hereof, I, Bilal Rashid, the Chief Executive Officer of the Registrant, hereby certify, to the best of my knowledge, pursuant to 18 U.S.C. Section 1350,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Registrant.</w:t>
      </w:r>
    </w:p>
    <w:p>
      <w:pPr>
        <w:pStyle w:val="TextBody"/>
        <w:bidi w:val="0"/>
        <w:jc w:val="left"/>
        <w:rPr/>
      </w:pPr>
      <w:r>
        <w:rPr/>
        <w:t> </w:t>
      </w:r>
    </w:p>
    <w:tbl>
      <w:tblPr>
        <w:tblW w:w="2233" w:type="dxa"/>
        <w:jc w:val="left"/>
        <w:tblInd w:w="0" w:type="dxa"/>
        <w:tblLayout w:type="fixed"/>
        <w:tblCellMar>
          <w:top w:w="28" w:type="dxa"/>
          <w:left w:w="28" w:type="dxa"/>
          <w:bottom w:w="28" w:type="dxa"/>
          <w:right w:w="28" w:type="dxa"/>
        </w:tblCellMar>
      </w:tblPr>
      <w:tblGrid>
        <w:gridCol w:w="161"/>
        <w:gridCol w:w="661"/>
        <w:gridCol w:w="1411"/>
      </w:tblGrid>
      <w:tr>
        <w:trPr/>
        <w:tc>
          <w:tcPr>
            <w:tcW w:w="1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cMar>
              <w:top w:w="0" w:type="dxa"/>
              <w:left w:w="0" w:type="dxa"/>
              <w:bottom w:w="0" w:type="dxa"/>
              <w:right w:w="0" w:type="dxa"/>
            </w:tcMar>
            <w:vAlign w:val="center"/>
          </w:tcPr>
          <w:p>
            <w:pPr>
              <w:pStyle w:val="TableContents"/>
              <w:bidi w:val="0"/>
              <w:spacing w:before="53" w:after="30"/>
              <w:jc w:val="left"/>
              <w:rPr/>
            </w:pPr>
            <w:r>
              <w:rPr/>
              <w:t> </w:t>
            </w:r>
          </w:p>
        </w:tc>
        <w:tc>
          <w:tcPr>
            <w:tcW w:w="1411"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/s/ Bilal Rashid</w:t>
            </w:r>
          </w:p>
        </w:tc>
      </w:tr>
      <w:tr>
        <w:trPr/>
        <w:tc>
          <w:tcPr>
            <w:tcW w:w="161" w:type="dxa"/>
            <w:tcBorders/>
            <w:tcMar>
              <w:top w:w="0" w:type="dxa"/>
              <w:left w:w="0" w:type="dxa"/>
              <w:bottom w:w="0" w:type="dxa"/>
              <w:right w:w="0" w:type="dxa"/>
            </w:tcMar>
            <w:vAlign w:val="center"/>
          </w:tcPr>
          <w:p>
            <w:pPr>
              <w:pStyle w:val="TableContents"/>
              <w:bidi w:val="0"/>
              <w:spacing w:before="33" w:after="30"/>
              <w:jc w:val="left"/>
              <w:rPr/>
            </w:pPr>
            <w:r>
              <w:rPr/>
              <w:t> </w:t>
            </w:r>
          </w:p>
        </w:tc>
        <w:tc>
          <w:tcPr>
            <w:tcW w:w="66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b/>
                <w:color w:val="000000"/>
                <w:sz w:val="20"/>
              </w:rPr>
            </w:pPr>
            <w:r>
              <w:rPr>
                <w:rFonts w:ascii="Times New Roman" w:hAnsi="Times New Roman"/>
                <w:b/>
                <w:color w:val="000000"/>
                <w:sz w:val="20"/>
              </w:rPr>
              <w:t>Name:</w:t>
            </w:r>
          </w:p>
        </w:tc>
        <w:tc>
          <w:tcPr>
            <w:tcW w:w="1411"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b/>
                <w:color w:val="000000"/>
                <w:sz w:val="20"/>
              </w:rPr>
            </w:pPr>
            <w:r>
              <w:rPr>
                <w:rFonts w:ascii="Times New Roman" w:hAnsi="Times New Roman"/>
                <w:b/>
                <w:color w:val="000000"/>
                <w:sz w:val="20"/>
              </w:rPr>
              <w:t>Bilal Rashid</w:t>
            </w:r>
          </w:p>
        </w:tc>
      </w:tr>
      <w:tr>
        <w:trPr/>
        <w:tc>
          <w:tcPr>
            <w:tcW w:w="161" w:type="dxa"/>
            <w:tcBorders/>
            <w:tcMar>
              <w:top w:w="0" w:type="dxa"/>
              <w:left w:w="0" w:type="dxa"/>
              <w:bottom w:w="0" w:type="dxa"/>
              <w:right w:w="0" w:type="dxa"/>
            </w:tcMar>
            <w:vAlign w:val="center"/>
          </w:tcPr>
          <w:p>
            <w:pPr>
              <w:pStyle w:val="TableContents"/>
              <w:bidi w:val="0"/>
              <w:spacing w:before="53" w:after="30"/>
              <w:jc w:val="left"/>
              <w:rPr/>
            </w:pPr>
            <w:r>
              <w:rPr/>
              <w:t> </w:t>
            </w:r>
          </w:p>
        </w:tc>
        <w:tc>
          <w:tcPr>
            <w:tcW w:w="66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20"/>
              </w:rPr>
            </w:pPr>
            <w:r>
              <w:rPr>
                <w:rFonts w:ascii="Times New Roman" w:hAnsi="Times New Roman"/>
                <w:b/>
                <w:color w:val="000000"/>
                <w:sz w:val="20"/>
              </w:rPr>
              <w:t>Date:</w:t>
            </w:r>
          </w:p>
        </w:tc>
        <w:tc>
          <w:tcPr>
            <w:tcW w:w="1411"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20"/>
              </w:rPr>
            </w:pPr>
            <w:r>
              <w:rPr>
                <w:rFonts w:ascii="Times New Roman" w:hAnsi="Times New Roman"/>
                <w:b/>
                <w:color w:val="000000"/>
                <w:sz w:val="20"/>
              </w:rPr>
              <w:t>July 30, 2026</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ofs-ex32_2.htm"/>
      <w:bookmarkStart w:id="31" w:name="ksofsex32_2"/>
      <w:bookmarkEnd w:id="30"/>
      <w:bookmarkEnd w:id="31"/>
      <w:r>
        <w:rPr/>
        <w:t> </w:t>
      </w:r>
      <w:r>
        <w:br w:type="page"/>
      </w:r>
    </w:p>
    <w:p>
      <w:pPr>
        <w:pStyle w:val="TextBody"/>
        <w:bidi w:val="0"/>
        <w:jc w:val="right"/>
        <w:rPr>
          <w:rFonts w:ascii="Times New Roman" w:hAnsi="Times New Roman"/>
          <w:b/>
          <w:color w:val="000000"/>
          <w:sz w:val="20"/>
        </w:rPr>
      </w:pPr>
      <w:bookmarkStart w:id="32" w:name="section13"/>
      <w:bookmarkEnd w:id="32"/>
      <w:r>
        <w:rPr>
          <w:rFonts w:ascii="Times New Roman" w:hAnsi="Times New Roman"/>
          <w:b/>
          <w:color w:val="000000"/>
          <w:sz w:val="20"/>
        </w:rPr>
        <w:t>Exhibit 32.2</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spacing w:before="100" w:after="283"/>
        <w:jc w:val="center"/>
        <w:rPr>
          <w:rFonts w:ascii="Times New Roman" w:hAnsi="Times New Roman"/>
          <w:sz w:val="20"/>
        </w:rPr>
      </w:pPr>
      <w:r>
        <w:rPr>
          <w:rFonts w:ascii="Times New Roman" w:hAnsi="Times New Roman"/>
          <w:b/>
          <w:color w:val="000000"/>
          <w:sz w:val="20"/>
        </w:rPr>
        <w:t>Pursuant to 18 U.S.C. Section 1350, as adopted Pursuant to</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In connection with the Quarterly Report on Form 10-Q for the period ended June 30, 2026 (the “Report”) of OFS Capital Corporation (the “Registrant”), as filed with the Securities and Exchange Commission on the date hereof, I, Kyle Spina, the Chief Financial Officer of the Registrant, hereby certify, to the best of my knowledge, pursuant to 18 U.S.C. Section 1350,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Registrant.</w:t>
      </w:r>
    </w:p>
    <w:p>
      <w:pPr>
        <w:pStyle w:val="TextBody"/>
        <w:bidi w:val="0"/>
        <w:jc w:val="left"/>
        <w:rPr/>
      </w:pPr>
      <w:r>
        <w:rPr/>
        <w:t> </w:t>
      </w:r>
    </w:p>
    <w:tbl>
      <w:tblPr>
        <w:tblW w:w="2113" w:type="dxa"/>
        <w:jc w:val="left"/>
        <w:tblInd w:w="0" w:type="dxa"/>
        <w:tblLayout w:type="fixed"/>
        <w:tblCellMar>
          <w:top w:w="28" w:type="dxa"/>
          <w:left w:w="28" w:type="dxa"/>
          <w:bottom w:w="28" w:type="dxa"/>
          <w:right w:w="28" w:type="dxa"/>
        </w:tblCellMar>
      </w:tblPr>
      <w:tblGrid>
        <w:gridCol w:w="161"/>
        <w:gridCol w:w="661"/>
        <w:gridCol w:w="1291"/>
      </w:tblGrid>
      <w:tr>
        <w:trPr/>
        <w:tc>
          <w:tcPr>
            <w:tcW w:w="1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53" w:after="30"/>
              <w:jc w:val="left"/>
              <w:rPr/>
            </w:pPr>
            <w:r>
              <w:rPr/>
              <w:t> </w:t>
            </w:r>
          </w:p>
        </w:tc>
        <w:tc>
          <w:tcPr>
            <w:tcW w:w="661" w:type="dxa"/>
            <w:tcBorders/>
            <w:tcMar>
              <w:top w:w="0" w:type="dxa"/>
              <w:left w:w="0" w:type="dxa"/>
              <w:bottom w:w="0" w:type="dxa"/>
              <w:right w:w="0" w:type="dxa"/>
            </w:tcMar>
            <w:vAlign w:val="center"/>
          </w:tcPr>
          <w:p>
            <w:pPr>
              <w:pStyle w:val="TableContents"/>
              <w:bidi w:val="0"/>
              <w:spacing w:before="53" w:after="30"/>
              <w:jc w:val="left"/>
              <w:rPr/>
            </w:pPr>
            <w:r>
              <w:rPr/>
              <w:t> </w:t>
            </w:r>
          </w:p>
        </w:tc>
        <w:tc>
          <w:tcPr>
            <w:tcW w:w="1291" w:type="dxa"/>
            <w:tcBorders>
              <w:bottom w:val="single" w:sz="8" w:space="0" w:color="000000"/>
            </w:tcBorders>
            <w:tcMar>
              <w:top w:w="0" w:type="dxa"/>
              <w:left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/s/ Kyle Spina</w:t>
            </w:r>
          </w:p>
        </w:tc>
      </w:tr>
      <w:tr>
        <w:trPr/>
        <w:tc>
          <w:tcPr>
            <w:tcW w:w="161" w:type="dxa"/>
            <w:tcBorders/>
            <w:tcMar>
              <w:top w:w="0" w:type="dxa"/>
              <w:left w:w="0" w:type="dxa"/>
              <w:bottom w:w="0" w:type="dxa"/>
              <w:right w:w="0" w:type="dxa"/>
            </w:tcMar>
            <w:vAlign w:val="center"/>
          </w:tcPr>
          <w:p>
            <w:pPr>
              <w:pStyle w:val="TableContents"/>
              <w:bidi w:val="0"/>
              <w:spacing w:before="33" w:after="30"/>
              <w:jc w:val="left"/>
              <w:rPr/>
            </w:pPr>
            <w:r>
              <w:rPr/>
              <w:t> </w:t>
            </w:r>
          </w:p>
        </w:tc>
        <w:tc>
          <w:tcPr>
            <w:tcW w:w="66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b/>
                <w:color w:val="000000"/>
                <w:sz w:val="20"/>
              </w:rPr>
            </w:pPr>
            <w:r>
              <w:rPr>
                <w:rFonts w:ascii="Times New Roman" w:hAnsi="Times New Roman"/>
                <w:b/>
                <w:color w:val="000000"/>
                <w:sz w:val="20"/>
              </w:rPr>
              <w:t>Name:</w:t>
            </w:r>
          </w:p>
        </w:tc>
        <w:tc>
          <w:tcPr>
            <w:tcW w:w="1291" w:type="dxa"/>
            <w:tcBorders/>
            <w:tcMar>
              <w:top w:w="0" w:type="dxa"/>
              <w:left w:w="0" w:type="dxa"/>
              <w:bottom w:w="0" w:type="dxa"/>
              <w:right w:w="0" w:type="dxa"/>
            </w:tcMar>
            <w:vAlign w:val="center"/>
          </w:tcPr>
          <w:p>
            <w:pPr>
              <w:pStyle w:val="TableContents"/>
              <w:bidi w:val="0"/>
              <w:spacing w:before="33" w:after="30"/>
              <w:jc w:val="center"/>
              <w:rPr>
                <w:rFonts w:ascii="Times New Roman" w:hAnsi="Times New Roman"/>
                <w:b/>
                <w:color w:val="000000"/>
                <w:sz w:val="20"/>
              </w:rPr>
            </w:pPr>
            <w:r>
              <w:rPr>
                <w:rFonts w:ascii="Times New Roman" w:hAnsi="Times New Roman"/>
                <w:b/>
                <w:color w:val="000000"/>
                <w:sz w:val="20"/>
              </w:rPr>
              <w:t>Kyle Spina</w:t>
            </w:r>
          </w:p>
        </w:tc>
      </w:tr>
      <w:tr>
        <w:trPr/>
        <w:tc>
          <w:tcPr>
            <w:tcW w:w="161" w:type="dxa"/>
            <w:tcBorders/>
            <w:tcMar>
              <w:top w:w="0" w:type="dxa"/>
              <w:left w:w="0" w:type="dxa"/>
              <w:bottom w:w="0" w:type="dxa"/>
              <w:right w:w="0" w:type="dxa"/>
            </w:tcMar>
            <w:vAlign w:val="center"/>
          </w:tcPr>
          <w:p>
            <w:pPr>
              <w:pStyle w:val="TableContents"/>
              <w:bidi w:val="0"/>
              <w:spacing w:before="53" w:after="30"/>
              <w:jc w:val="left"/>
              <w:rPr/>
            </w:pPr>
            <w:r>
              <w:rPr/>
              <w:t> </w:t>
            </w:r>
          </w:p>
        </w:tc>
        <w:tc>
          <w:tcPr>
            <w:tcW w:w="66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20"/>
              </w:rPr>
            </w:pPr>
            <w:r>
              <w:rPr>
                <w:rFonts w:ascii="Times New Roman" w:hAnsi="Times New Roman"/>
                <w:b/>
                <w:color w:val="000000"/>
                <w:sz w:val="20"/>
              </w:rPr>
              <w:t>Date:</w:t>
            </w:r>
          </w:p>
        </w:tc>
        <w:tc>
          <w:tcPr>
            <w:tcW w:w="1291"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20"/>
              </w:rPr>
            </w:pPr>
            <w:r>
              <w:rPr>
                <w:rFonts w:ascii="Times New Roman" w:hAnsi="Times New Roman"/>
                <w:b/>
                <w:color w:val="000000"/>
                <w:sz w:val="20"/>
              </w:rPr>
              <w:t>July 30, 2026</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87918/000119312511070291/dex99a2.htm" TargetMode="External"/><Relationship Id="rId3" Type="http://schemas.openxmlformats.org/officeDocument/2006/relationships/hyperlink" Target="https://www.sec.gov/Archives/edgar/data/1487918/000119312513126858/d504495dex33.htm" TargetMode="External"/><Relationship Id="rId4" Type="http://schemas.openxmlformats.org/officeDocument/2006/relationships/hyperlink" Target="https://www.sec.gov/Archives/edgar/data/1487918/000119312511070291/dex99b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37095</Words>
  <Characters>195924</Characters>
  <CharactersWithSpaces>242841</CharactersWithSpaces>
  <Paragraphs>24680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