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3" w:lineRule="exact"/>
        <w:rPr>
          <w:sz w:val="24"/>
          <w:szCs w:val="24"/>
          <w:color w:val="auto"/>
        </w:rPr>
      </w:pPr>
    </w:p>
    <w:p>
      <w:pPr>
        <w:ind w:left="460" w:hanging="30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7" w:lineRule="exact"/>
        <w:rPr>
          <w:sz w:val="24"/>
          <w:szCs w:val="24"/>
          <w:color w:val="auto"/>
        </w:rPr>
      </w:pPr>
    </w:p>
    <w:p>
      <w:pPr>
        <w:ind w:left="420" w:hanging="284"/>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45" w:lineRule="exact"/>
        <w:rPr>
          <w:rFonts w:ascii="MS PGothic" w:cs="MS PGothic" w:eastAsia="MS PGothic" w:hAnsi="MS PGothic"/>
          <w:sz w:val="18"/>
          <w:szCs w:val="18"/>
          <w:color w:val="auto"/>
        </w:rPr>
      </w:pPr>
    </w:p>
    <w:p>
      <w:pPr>
        <w:ind w:left="37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transition period from _______ to _______</w:t>
      </w:r>
    </w:p>
    <w:p>
      <w:pPr>
        <w:spacing w:after="0" w:line="117"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814-00813</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OFS CAPITAL CORPORATION</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2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1715"/>
              <w:spacing w:after="0"/>
              <w:rPr>
                <w:sz w:val="20"/>
                <w:szCs w:val="20"/>
                <w:color w:val="auto"/>
              </w:rPr>
            </w:pPr>
            <w:r>
              <w:rPr>
                <w:rFonts w:ascii="Times New Roman" w:cs="Times New Roman" w:eastAsia="Times New Roman" w:hAnsi="Times New Roman"/>
                <w:sz w:val="18"/>
                <w:szCs w:val="18"/>
                <w:color w:val="auto"/>
              </w:rPr>
              <w:t>46-1339639</w:t>
            </w:r>
          </w:p>
        </w:tc>
      </w:tr>
      <w:tr>
        <w:trPr>
          <w:trHeight w:val="217"/>
        </w:trPr>
        <w:tc>
          <w:tcPr>
            <w:tcW w:w="7640" w:type="dxa"/>
            <w:vAlign w:val="bottom"/>
            <w:gridSpan w:val="3"/>
          </w:tcPr>
          <w:p>
            <w:pPr>
              <w:jc w:val="center"/>
              <w:ind w:right="31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600" w:type="dxa"/>
            <w:vAlign w:val="bottom"/>
          </w:tcPr>
          <w:p>
            <w:pPr>
              <w:jc w:val="center"/>
              <w:ind w:right="77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29"/>
        </w:trPr>
        <w:tc>
          <w:tcPr>
            <w:tcW w:w="7640" w:type="dxa"/>
            <w:vAlign w:val="bottom"/>
            <w:gridSpan w:val="3"/>
          </w:tcPr>
          <w:p>
            <w:pPr>
              <w:jc w:val="center"/>
              <w:ind w:right="314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600" w:type="dxa"/>
            <w:vAlign w:val="bottom"/>
          </w:tcPr>
          <w:p>
            <w:pPr>
              <w:spacing w:after="0"/>
              <w:rPr>
                <w:sz w:val="19"/>
                <w:szCs w:val="19"/>
                <w:color w:val="auto"/>
              </w:rPr>
            </w:pPr>
          </w:p>
        </w:tc>
      </w:tr>
      <w:tr>
        <w:trPr>
          <w:trHeight w:val="41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222 W. Adams Street, Suite 1850, Chicago, Illinois</w:t>
            </w:r>
          </w:p>
        </w:tc>
        <w:tc>
          <w:tcPr>
            <w:tcW w:w="22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1915"/>
              <w:spacing w:after="0"/>
              <w:rPr>
                <w:sz w:val="20"/>
                <w:szCs w:val="20"/>
                <w:color w:val="auto"/>
              </w:rPr>
            </w:pPr>
            <w:r>
              <w:rPr>
                <w:rFonts w:ascii="Times New Roman" w:cs="Times New Roman" w:eastAsia="Times New Roman" w:hAnsi="Times New Roman"/>
                <w:sz w:val="18"/>
                <w:szCs w:val="18"/>
                <w:color w:val="auto"/>
              </w:rPr>
              <w:t>60606</w:t>
            </w:r>
          </w:p>
        </w:tc>
      </w:tr>
      <w:tr>
        <w:trPr>
          <w:trHeight w:val="217"/>
        </w:trPr>
        <w:tc>
          <w:tcPr>
            <w:tcW w:w="7640" w:type="dxa"/>
            <w:vAlign w:val="bottom"/>
            <w:gridSpan w:val="3"/>
          </w:tcPr>
          <w:p>
            <w:pPr>
              <w:jc w:val="center"/>
              <w:ind w:right="314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00" w:type="dxa"/>
            <w:vAlign w:val="bottom"/>
          </w:tcPr>
          <w:p>
            <w:pPr>
              <w:jc w:val="center"/>
              <w:ind w:right="775"/>
              <w:spacing w:after="0"/>
              <w:rPr>
                <w:sz w:val="20"/>
                <w:szCs w:val="20"/>
                <w:color w:val="auto"/>
              </w:rPr>
            </w:pPr>
            <w:r>
              <w:rPr>
                <w:rFonts w:ascii="Times New Roman" w:cs="Times New Roman" w:eastAsia="Times New Roman" w:hAnsi="Times New Roman"/>
                <w:sz w:val="16"/>
                <w:szCs w:val="16"/>
                <w:color w:val="auto"/>
              </w:rPr>
              <w:t>Zip Code</w:t>
            </w:r>
          </w:p>
        </w:tc>
      </w:tr>
      <w:tr>
        <w:trPr>
          <w:trHeight w:val="249"/>
        </w:trPr>
        <w:tc>
          <w:tcPr>
            <w:tcW w:w="4500" w:type="dxa"/>
            <w:vAlign w:val="bottom"/>
          </w:tcPr>
          <w:p>
            <w:pPr>
              <w:spacing w:after="0"/>
              <w:rPr>
                <w:sz w:val="21"/>
                <w:szCs w:val="21"/>
                <w:color w:val="auto"/>
              </w:rPr>
            </w:pPr>
          </w:p>
        </w:tc>
        <w:tc>
          <w:tcPr>
            <w:tcW w:w="22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(847) 734-2000</w:t>
            </w:r>
          </w:p>
        </w:tc>
        <w:tc>
          <w:tcPr>
            <w:tcW w:w="860" w:type="dxa"/>
            <w:vAlign w:val="bottom"/>
          </w:tcPr>
          <w:p>
            <w:pPr>
              <w:spacing w:after="0"/>
              <w:rPr>
                <w:sz w:val="21"/>
                <w:szCs w:val="21"/>
                <w:color w:val="auto"/>
              </w:rPr>
            </w:pPr>
          </w:p>
        </w:tc>
        <w:tc>
          <w:tcPr>
            <w:tcW w:w="3600" w:type="dxa"/>
            <w:vAlign w:val="bottom"/>
          </w:tcPr>
          <w:p>
            <w:pPr>
              <w:spacing w:after="0"/>
              <w:rPr>
                <w:sz w:val="21"/>
                <w:szCs w:val="21"/>
                <w:color w:val="auto"/>
              </w:rPr>
            </w:pPr>
          </w:p>
        </w:tc>
      </w:tr>
      <w:tr>
        <w:trPr>
          <w:trHeight w:val="217"/>
        </w:trPr>
        <w:tc>
          <w:tcPr>
            <w:tcW w:w="7640" w:type="dxa"/>
            <w:vAlign w:val="bottom"/>
            <w:gridSpan w:val="3"/>
          </w:tcPr>
          <w:p>
            <w:pPr>
              <w:ind w:left="386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600" w:type="dxa"/>
            <w:vAlign w:val="bottom"/>
          </w:tcPr>
          <w:p>
            <w:pPr>
              <w:spacing w:after="0"/>
              <w:rPr>
                <w:sz w:val="18"/>
                <w:szCs w:val="18"/>
                <w:color w:val="auto"/>
              </w:rPr>
            </w:pPr>
          </w:p>
        </w:tc>
      </w:tr>
      <w:tr>
        <w:trPr>
          <w:trHeight w:val="370"/>
        </w:trPr>
        <w:tc>
          <w:tcPr>
            <w:tcW w:w="4500" w:type="dxa"/>
            <w:vAlign w:val="bottom"/>
          </w:tcPr>
          <w:p>
            <w:pPr>
              <w:spacing w:after="0"/>
              <w:rPr>
                <w:sz w:val="24"/>
                <w:szCs w:val="24"/>
                <w:color w:val="auto"/>
              </w:rPr>
            </w:pPr>
          </w:p>
        </w:tc>
        <w:tc>
          <w:tcPr>
            <w:tcW w:w="3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Not applicable</w:t>
            </w:r>
          </w:p>
        </w:tc>
        <w:tc>
          <w:tcPr>
            <w:tcW w:w="36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4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OFS</w:t>
            </w:r>
          </w:p>
        </w:tc>
        <w:tc>
          <w:tcPr>
            <w:tcW w:w="4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56"/>
        </w:trPr>
        <w:tc>
          <w:tcPr>
            <w:tcW w:w="43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4.95% Notes due 2028</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OFSSH</w:t>
            </w:r>
          </w:p>
        </w:tc>
        <w:tc>
          <w:tcPr>
            <w:tcW w:w="4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57"/>
        </w:trPr>
        <w:tc>
          <w:tcPr>
            <w:tcW w:w="43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7.50% Notes due 2028</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OFSSO</w:t>
            </w:r>
          </w:p>
        </w:tc>
        <w:tc>
          <w:tcPr>
            <w:tcW w:w="4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03" w:lineRule="exact"/>
        <w:rPr>
          <w:sz w:val="24"/>
          <w:szCs w:val="24"/>
          <w:color w:val="auto"/>
        </w:rPr>
      </w:pPr>
    </w:p>
    <w:p>
      <w:pPr>
        <w:ind w:right="60" w:firstLine="51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40" w:firstLine="51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80" w:firstLine="51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1180" w:type="dxa"/>
        <w:tblCellMar>
          <w:top w:w="0" w:type="dxa"/>
          <w:left w:w="0" w:type="dxa"/>
          <w:bottom w:w="0" w:type="dxa"/>
          <w:right w:w="0" w:type="dxa"/>
        </w:tblCellMar>
      </w:tblP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2" w:lineRule="exact"/>
        <w:rPr>
          <w:sz w:val="24"/>
          <w:szCs w:val="24"/>
          <w:color w:val="auto"/>
        </w:rPr>
      </w:pPr>
    </w:p>
    <w:p>
      <w:pPr>
        <w:ind w:right="240" w:firstLine="562"/>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0" w:lineRule="exact"/>
        <w:rPr>
          <w:sz w:val="24"/>
          <w:szCs w:val="24"/>
          <w:color w:val="auto"/>
        </w:rPr>
      </w:pPr>
    </w:p>
    <w:p>
      <w:pPr>
        <w:spacing w:after="0" w:line="207" w:lineRule="exact"/>
        <w:tabs>
          <w:tab w:leader="none" w:pos="7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issuer’s Common Stock, $0.01 par value, outstanding as of April 27, 2026 was 13,398,078.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OFS CAPITAL CORPORATION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00" w:type="dxa"/>
            <w:vAlign w:val="bottom"/>
            <w:gridSpan w:val="20"/>
          </w:tcPr>
          <w:p>
            <w:pPr>
              <w:ind w:left="220"/>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3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Assets and Liabilities as of March 31, 2026 (unaudited) and December 31, 2025</w:t>
            </w:r>
          </w:p>
        </w:tc>
        <w:tc>
          <w:tcPr>
            <w:tcW w:w="560" w:type="dxa"/>
            <w:vAlign w:val="bottom"/>
            <w:gridSpan w:val="2"/>
            <w:vMerge w:val="restart"/>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40" w:type="dxa"/>
            <w:vAlign w:val="bottom"/>
            <w:vMerge w:val="restart"/>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540" w:type="dxa"/>
            <w:vAlign w:val="bottom"/>
            <w:tcBorders>
              <w:top w:val="single" w:sz="8" w:color="0000FF"/>
              <w:bottom w:val="single" w:sz="8" w:color="CCEEFF"/>
            </w:tcBorders>
            <w:shd w:val="clear" w:color="auto" w:fill="CCEEFF"/>
          </w:tcPr>
          <w:p>
            <w:pPr>
              <w:spacing w:after="0"/>
              <w:rPr>
                <w:sz w:val="12"/>
                <w:szCs w:val="12"/>
                <w:color w:val="auto"/>
              </w:rPr>
            </w:pPr>
          </w:p>
        </w:tc>
        <w:tc>
          <w:tcPr>
            <w:tcW w:w="300" w:type="dxa"/>
            <w:vAlign w:val="bottom"/>
            <w:tcBorders>
              <w:top w:val="single" w:sz="8" w:color="0000FF"/>
              <w:bottom w:val="single" w:sz="8" w:color="CCEEFF"/>
            </w:tcBorders>
            <w:shd w:val="clear" w:color="auto" w:fill="CCEEFF"/>
          </w:tcPr>
          <w:p>
            <w:pPr>
              <w:spacing w:after="0"/>
              <w:rPr>
                <w:sz w:val="12"/>
                <w:szCs w:val="12"/>
                <w:color w:val="auto"/>
              </w:rPr>
            </w:pPr>
          </w:p>
        </w:tc>
        <w:tc>
          <w:tcPr>
            <w:tcW w:w="4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260" w:type="dxa"/>
            <w:vAlign w:val="bottom"/>
            <w:tcBorders>
              <w:top w:val="single" w:sz="8" w:color="0000FF"/>
              <w:bottom w:val="single" w:sz="8" w:color="CCEEFF"/>
            </w:tcBorders>
            <w:shd w:val="clear" w:color="auto" w:fill="CCEEFF"/>
          </w:tcPr>
          <w:p>
            <w:pPr>
              <w:spacing w:after="0"/>
              <w:rPr>
                <w:sz w:val="12"/>
                <w:szCs w:val="12"/>
                <w:color w:val="auto"/>
              </w:rPr>
            </w:pPr>
          </w:p>
        </w:tc>
        <w:tc>
          <w:tcPr>
            <w:tcW w:w="540" w:type="dxa"/>
            <w:vAlign w:val="bottom"/>
            <w:tcBorders>
              <w:top w:val="single" w:sz="8" w:color="0000FF"/>
              <w:bottom w:val="single" w:sz="8" w:color="CCEEFF"/>
            </w:tcBorders>
            <w:shd w:val="clear" w:color="auto" w:fill="CCEEFF"/>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1520" w:type="dxa"/>
            <w:vAlign w:val="bottom"/>
            <w:tcBorders>
              <w:top w:val="single" w:sz="8" w:color="0000FF"/>
              <w:bottom w:val="single" w:sz="8" w:color="CCEEFF"/>
            </w:tcBorders>
            <w:shd w:val="clear" w:color="auto" w:fill="CCEEFF"/>
          </w:tcPr>
          <w:p>
            <w:pPr>
              <w:spacing w:after="0"/>
              <w:rPr>
                <w:sz w:val="12"/>
                <w:szCs w:val="12"/>
                <w:color w:val="auto"/>
              </w:rPr>
            </w:pPr>
          </w:p>
        </w:tc>
        <w:tc>
          <w:tcPr>
            <w:tcW w:w="3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100" w:type="dxa"/>
            <w:vAlign w:val="bottom"/>
            <w:tcBorders>
              <w:top w:val="single" w:sz="8" w:color="0000FF"/>
              <w:bottom w:val="single" w:sz="8" w:color="CCEEFF"/>
            </w:tcBorders>
            <w:shd w:val="clear" w:color="auto" w:fill="CCEEFF"/>
          </w:tcPr>
          <w:p>
            <w:pPr>
              <w:spacing w:after="0"/>
              <w:rPr>
                <w:sz w:val="12"/>
                <w:szCs w:val="12"/>
                <w:color w:val="auto"/>
              </w:rPr>
            </w:pPr>
          </w:p>
        </w:tc>
        <w:tc>
          <w:tcPr>
            <w:tcW w:w="600" w:type="dxa"/>
            <w:vAlign w:val="bottom"/>
            <w:tcBorders>
              <w:top w:val="single" w:sz="8" w:color="0000FF"/>
              <w:bottom w:val="single" w:sz="8" w:color="CCEEFF"/>
            </w:tcBorders>
            <w:shd w:val="clear" w:color="auto" w:fill="CCEEFF"/>
          </w:tcPr>
          <w:p>
            <w:pPr>
              <w:spacing w:after="0"/>
              <w:rPr>
                <w:sz w:val="12"/>
                <w:szCs w:val="12"/>
                <w:color w:val="auto"/>
              </w:rPr>
            </w:pPr>
          </w:p>
        </w:tc>
        <w:tc>
          <w:tcPr>
            <w:tcW w:w="740" w:type="dxa"/>
            <w:vAlign w:val="bottom"/>
            <w:tcBorders>
              <w:top w:val="single" w:sz="8" w:color="0000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CCEEFF"/>
              <w:bottom w:val="single" w:sz="8" w:color="CCEEFF"/>
            </w:tcBorders>
            <w:gridSpan w:val="2"/>
            <w:vMerge w:val="continue"/>
            <w:shd w:val="clear" w:color="auto" w:fill="CCEEFF"/>
          </w:tcPr>
          <w:p>
            <w:pPr>
              <w:spacing w:after="0"/>
              <w:rPr>
                <w:sz w:val="12"/>
                <w:szCs w:val="12"/>
                <w:color w:val="auto"/>
              </w:rPr>
            </w:pPr>
          </w:p>
        </w:tc>
        <w:tc>
          <w:tcPr>
            <w:tcW w:w="100" w:type="dxa"/>
            <w:vAlign w:val="bottom"/>
            <w:tcBorders>
              <w:top w:val="single" w:sz="8" w:color="CCEEFF"/>
              <w:bottom w:val="single" w:sz="8" w:color="0000FF"/>
            </w:tcBorders>
            <w:vMerge w:val="continue"/>
            <w:shd w:val="clear" w:color="auto" w:fill="CCEEFF"/>
          </w:tcPr>
          <w:p>
            <w:pPr>
              <w:spacing w:after="0"/>
              <w:rPr>
                <w:sz w:val="12"/>
                <w:szCs w:val="12"/>
                <w:color w:val="auto"/>
              </w:rPr>
            </w:pPr>
          </w:p>
        </w:tc>
        <w:tc>
          <w:tcPr>
            <w:tcW w:w="4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2026 (unaudited) and 2025 (unaudited)</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380" w:type="dxa"/>
            <w:vAlign w:val="bottom"/>
            <w:tcBorders>
              <w:bottom w:val="single" w:sz="8" w:color="0000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Net Assets for the Three Months Ended March 31, 2026 (unaudited) and 2025 (unaudited)</w:t>
            </w:r>
          </w:p>
        </w:tc>
        <w:tc>
          <w:tcPr>
            <w:tcW w:w="560" w:type="dxa"/>
            <w:vAlign w:val="bottom"/>
            <w:tcBorders>
              <w:bottom w:val="single" w:sz="8" w:color="CCEEFF"/>
            </w:tcBorders>
            <w:gridSpan w:val="2"/>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0000FF"/>
            </w:tcBorders>
            <w:vMerge w:val="continue"/>
            <w:shd w:val="clear" w:color="auto" w:fill="CCEEFF"/>
          </w:tcPr>
          <w:p>
            <w:pPr>
              <w:spacing w:after="0"/>
              <w:rPr>
                <w:sz w:val="12"/>
                <w:szCs w:val="12"/>
                <w:color w:val="auto"/>
              </w:rPr>
            </w:pPr>
          </w:p>
        </w:tc>
        <w:tc>
          <w:tcPr>
            <w:tcW w:w="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(unaudited) and 2025 (unaudited)</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60" w:type="dxa"/>
            <w:vAlign w:val="bottom"/>
            <w:tcBorders>
              <w:bottom w:val="single" w:sz="8" w:color="0000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Consolidated Schedules of Investments as of March 31, 2026 (unaudited) and December 31, 2025</w:t>
            </w:r>
          </w:p>
        </w:tc>
        <w:tc>
          <w:tcPr>
            <w:tcW w:w="2320" w:type="dxa"/>
            <w:vAlign w:val="bottom"/>
            <w:tcBorders>
              <w:bottom w:val="single" w:sz="8" w:color="CCEEFF"/>
            </w:tcBorders>
            <w:gridSpan w:val="4"/>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0" w:type="dxa"/>
            <w:vAlign w:val="bottom"/>
            <w:gridSpan w:val="20"/>
          </w:tcPr>
          <w:p>
            <w:pPr>
              <w:ind w:left="220"/>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24</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220" w:type="dxa"/>
            <w:vAlign w:val="bottom"/>
            <w:shd w:val="clear" w:color="auto" w:fill="CCEEFF"/>
          </w:tcPr>
          <w:p>
            <w:pPr>
              <w:spacing w:after="0"/>
              <w:rPr>
                <w:sz w:val="19"/>
                <w:szCs w:val="19"/>
                <w:color w:val="auto"/>
              </w:rPr>
            </w:pPr>
          </w:p>
        </w:tc>
        <w:tc>
          <w:tcPr>
            <w:tcW w:w="93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48"/>
        </w:trPr>
        <w:tc>
          <w:tcPr>
            <w:tcW w:w="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20" w:type="dxa"/>
            <w:vAlign w:val="bottom"/>
          </w:tcPr>
          <w:p>
            <w:pPr>
              <w:spacing w:after="0"/>
              <w:rPr>
                <w:sz w:val="19"/>
                <w:szCs w:val="19"/>
                <w:color w:val="auto"/>
              </w:rPr>
            </w:pPr>
          </w:p>
        </w:tc>
        <w:tc>
          <w:tcPr>
            <w:tcW w:w="64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20" w:type="dxa"/>
            <w:vAlign w:val="bottom"/>
            <w:gridSpan w:val="5"/>
          </w:tcPr>
          <w:p>
            <w:pPr>
              <w:spacing w:after="0"/>
              <w:rPr>
                <w:sz w:val="19"/>
                <w:szCs w:val="19"/>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00" w:type="dxa"/>
            <w:vAlign w:val="bottom"/>
            <w:gridSpan w:val="20"/>
            <w:shd w:val="clear" w:color="auto" w:fill="CCEEFF"/>
          </w:tcPr>
          <w:p>
            <w:pPr>
              <w:ind w:left="2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297"/>
        </w:trPr>
        <w:tc>
          <w:tcPr>
            <w:tcW w:w="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gridSpan w:val="2"/>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540" w:type="dxa"/>
            <w:vAlign w:val="bottom"/>
            <w:gridSpan w:val="22"/>
            <w:shd w:val="clear" w:color="auto" w:fill="CCEEFF"/>
          </w:tcPr>
          <w:p>
            <w:pPr>
              <w:ind w:left="60"/>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48"/>
        </w:trPr>
        <w:tc>
          <w:tcPr>
            <w:tcW w:w="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740" w:type="dxa"/>
            <w:vAlign w:val="bottom"/>
            <w:gridSpan w:val="8"/>
          </w:tcPr>
          <w:p>
            <w:pPr>
              <w:ind w:left="220"/>
              <w:spacing w:after="0"/>
              <w:rPr>
                <w:sz w:val="20"/>
                <w:szCs w:val="20"/>
                <w:color w:val="auto"/>
              </w:rPr>
            </w:pPr>
            <w:r>
              <w:rPr>
                <w:rFonts w:ascii="Times New Roman" w:cs="Times New Roman" w:eastAsia="Times New Roman" w:hAnsi="Times New Roman"/>
                <w:sz w:val="18"/>
                <w:szCs w:val="18"/>
                <w:color w:val="0000FF"/>
              </w:rPr>
              <w:t>Legal Proceedings</w:t>
            </w:r>
          </w:p>
        </w:tc>
        <w:tc>
          <w:tcPr>
            <w:tcW w:w="7860" w:type="dxa"/>
            <w:vAlign w:val="bottom"/>
            <w:gridSpan w:val="12"/>
          </w:tcPr>
          <w:p>
            <w:pPr>
              <w:spacing w:after="0"/>
              <w:rPr>
                <w:sz w:val="19"/>
                <w:szCs w:val="19"/>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220" w:type="dxa"/>
            <w:vAlign w:val="bottom"/>
            <w:shd w:val="clear" w:color="auto" w:fill="CCEEFF"/>
          </w:tcPr>
          <w:p>
            <w:pPr>
              <w:spacing w:after="0"/>
              <w:rPr>
                <w:sz w:val="19"/>
                <w:szCs w:val="19"/>
                <w:color w:val="auto"/>
              </w:rPr>
            </w:pPr>
          </w:p>
        </w:tc>
        <w:tc>
          <w:tcPr>
            <w:tcW w:w="93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48"/>
        </w:trPr>
        <w:tc>
          <w:tcPr>
            <w:tcW w:w="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220" w:type="dxa"/>
            <w:vAlign w:val="bottom"/>
          </w:tcPr>
          <w:p>
            <w:pPr>
              <w:spacing w:after="0"/>
              <w:rPr>
                <w:sz w:val="19"/>
                <w:szCs w:val="19"/>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20" w:type="dxa"/>
            <w:vAlign w:val="bottom"/>
            <w:shd w:val="clear" w:color="auto" w:fill="CCEEFF"/>
          </w:tcPr>
          <w:p>
            <w:pPr>
              <w:spacing w:after="0"/>
              <w:rPr>
                <w:sz w:val="19"/>
                <w:szCs w:val="19"/>
                <w:color w:val="auto"/>
              </w:rPr>
            </w:pPr>
          </w:p>
        </w:tc>
        <w:tc>
          <w:tcPr>
            <w:tcW w:w="93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48"/>
        </w:trPr>
        <w:tc>
          <w:tcPr>
            <w:tcW w:w="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220" w:type="dxa"/>
            <w:vAlign w:val="bottom"/>
          </w:tcPr>
          <w:p>
            <w:pPr>
              <w:spacing w:after="0"/>
              <w:rPr>
                <w:sz w:val="19"/>
                <w:szCs w:val="19"/>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60" w:type="dxa"/>
            <w:vAlign w:val="bottom"/>
            <w:gridSpan w:val="10"/>
          </w:tcPr>
          <w:p>
            <w:pPr>
              <w:spacing w:after="0"/>
              <w:rPr>
                <w:sz w:val="19"/>
                <w:szCs w:val="19"/>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220" w:type="dxa"/>
            <w:vAlign w:val="bottom"/>
            <w:shd w:val="clear" w:color="auto" w:fill="CCEEFF"/>
          </w:tcPr>
          <w:p>
            <w:pPr>
              <w:spacing w:after="0"/>
              <w:rPr>
                <w:sz w:val="19"/>
                <w:szCs w:val="19"/>
                <w:color w:val="auto"/>
              </w:rPr>
            </w:pPr>
          </w:p>
        </w:tc>
        <w:tc>
          <w:tcPr>
            <w:tcW w:w="1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060" w:type="dxa"/>
            <w:vAlign w:val="bottom"/>
            <w:gridSpan w:val="14"/>
            <w:shd w:val="clear" w:color="auto" w:fill="CCEEFF"/>
          </w:tcPr>
          <w:p>
            <w:pPr>
              <w:spacing w:after="0"/>
              <w:rPr>
                <w:sz w:val="19"/>
                <w:szCs w:val="19"/>
                <w:color w:val="auto"/>
              </w:rPr>
            </w:pP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48"/>
        </w:trPr>
        <w:tc>
          <w:tcPr>
            <w:tcW w:w="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220" w:type="dxa"/>
            <w:vAlign w:val="bottom"/>
          </w:tcPr>
          <w:p>
            <w:pPr>
              <w:spacing w:after="0"/>
              <w:rPr>
                <w:sz w:val="19"/>
                <w:szCs w:val="19"/>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60" w:type="dxa"/>
            <w:vAlign w:val="bottom"/>
            <w:gridSpan w:val="14"/>
          </w:tcPr>
          <w:p>
            <w:pPr>
              <w:spacing w:after="0"/>
              <w:rPr>
                <w:sz w:val="19"/>
                <w:szCs w:val="19"/>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0540" w:type="dxa"/>
            <w:vAlign w:val="bottom"/>
            <w:gridSpan w:val="22"/>
            <w:shd w:val="clear" w:color="auto" w:fill="CCEEFF"/>
          </w:tcPr>
          <w:p>
            <w:pPr>
              <w:ind w:left="60"/>
              <w:spacing w:after="0"/>
              <w:rPr>
                <w:sz w:val="20"/>
                <w:szCs w:val="20"/>
                <w:color w:val="auto"/>
              </w:rPr>
            </w:pPr>
            <w:r>
              <w:rPr>
                <w:rFonts w:ascii="Times New Roman" w:cs="Times New Roman" w:eastAsia="Times New Roman" w:hAnsi="Times New Roman"/>
                <w:sz w:val="18"/>
                <w:szCs w:val="18"/>
                <w:color w:val="0000FF"/>
              </w:rPr>
              <w:t>SIGNATURES</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48"/>
        </w:trPr>
        <w:tc>
          <w:tcPr>
            <w:tcW w:w="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OFS®, OFS Capital®, OFS Credit® and HPCI® are registered trademarks of Orchard First Source Asset Management,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OFS Capital Management™ is a trademark of Orchard First Source Asset Management,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trademarks or trade names referred to in this Quarterly Report on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21"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We have used “we,” “us,” “our,” “our company” and “the Company” to refer to OFS Capital Corporation in this report. We also have used several other terms in this report, which are explained or defined below:</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Explanation or Definition</w:t>
            </w:r>
          </w:p>
        </w:tc>
      </w:tr>
      <w:tr>
        <w:trPr>
          <w:trHeight w:val="24"/>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right w:val="single" w:sz="8" w:color="auto"/>
            </w:tcBorders>
          </w:tcPr>
          <w:p>
            <w:pPr>
              <w:spacing w:after="0"/>
              <w:rPr>
                <w:sz w:val="2"/>
                <w:szCs w:val="2"/>
                <w:color w:val="auto"/>
              </w:rPr>
            </w:pPr>
          </w:p>
        </w:tc>
      </w:tr>
      <w:tr>
        <w:trPr>
          <w:trHeight w:val="268"/>
        </w:trPr>
        <w:tc>
          <w:tcPr>
            <w:tcW w:w="31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1940 Act</w:t>
            </w: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Company Act of 1940, as amended</w:t>
            </w:r>
          </w:p>
        </w:tc>
      </w:tr>
      <w:tr>
        <w:trPr>
          <w:trHeight w:val="253"/>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Administration Agreement</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Administration Agreement between the Company and OFS Services dated November 7, 2012</w:t>
            </w:r>
          </w:p>
        </w:tc>
      </w:tr>
      <w:tr>
        <w:trPr>
          <w:trHeight w:val="159"/>
        </w:trPr>
        <w:tc>
          <w:tcPr>
            <w:tcW w:w="3140" w:type="dxa"/>
            <w:vAlign w:val="bottom"/>
            <w:tcBorders>
              <w:left w:val="single" w:sz="8" w:color="auto"/>
              <w:bottom w:val="single" w:sz="8" w:color="auto"/>
              <w:right w:val="single" w:sz="8" w:color="auto"/>
            </w:tcBorders>
          </w:tcPr>
          <w:p>
            <w:pPr>
              <w:spacing w:after="0"/>
              <w:rPr>
                <w:sz w:val="13"/>
                <w:szCs w:val="13"/>
                <w:color w:val="auto"/>
              </w:rPr>
            </w:pPr>
          </w:p>
        </w:tc>
        <w:tc>
          <w:tcPr>
            <w:tcW w:w="8120" w:type="dxa"/>
            <w:vAlign w:val="bottom"/>
            <w:tcBorders>
              <w:bottom w:val="single" w:sz="8" w:color="auto"/>
              <w:right w:val="single" w:sz="8" w:color="auto"/>
            </w:tcBorders>
          </w:tcPr>
          <w:p>
            <w:pPr>
              <w:spacing w:after="0"/>
              <w:rPr>
                <w:sz w:val="13"/>
                <w:szCs w:val="13"/>
                <w:color w:val="auto"/>
              </w:rPr>
            </w:pPr>
          </w:p>
        </w:tc>
      </w:tr>
      <w:tr>
        <w:trPr>
          <w:trHeight w:val="240"/>
        </w:trPr>
        <w:tc>
          <w:tcPr>
            <w:tcW w:w="31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Affiliated Account</w:t>
            </w: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 account, other than the Company, managed by OFS Advisor or an affiliate of OFS Advisor</w:t>
            </w:r>
          </w:p>
        </w:tc>
      </w:tr>
      <w:tr>
        <w:trPr>
          <w:trHeight w:val="162"/>
        </w:trPr>
        <w:tc>
          <w:tcPr>
            <w:tcW w:w="31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812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18"/>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Affiliated Fund</w:t>
            </w: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Certain other funds, including other BDCs and registered investment companies managed by OFS Advisor or</w:t>
            </w:r>
          </w:p>
        </w:tc>
      </w:tr>
      <w:tr>
        <w:trPr>
          <w:trHeight w:val="234"/>
        </w:trPr>
        <w:tc>
          <w:tcPr>
            <w:tcW w:w="3140" w:type="dxa"/>
            <w:vAlign w:val="bottom"/>
            <w:tcBorders>
              <w:left w:val="single" w:sz="8" w:color="auto"/>
              <w:right w:val="single" w:sz="8" w:color="auto"/>
            </w:tcBorders>
          </w:tcPr>
          <w:p>
            <w:pPr>
              <w:spacing w:after="0"/>
              <w:rPr>
                <w:sz w:val="20"/>
                <w:szCs w:val="20"/>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registered investment advisers controlling, controlled by, or under common control with, OFS Advisor</w:t>
            </w:r>
          </w:p>
        </w:tc>
      </w:tr>
      <w:tr>
        <w:trPr>
          <w:trHeight w:val="135"/>
        </w:trPr>
        <w:tc>
          <w:tcPr>
            <w:tcW w:w="3140" w:type="dxa"/>
            <w:vAlign w:val="bottom"/>
            <w:tcBorders>
              <w:left w:val="single" w:sz="8" w:color="auto"/>
              <w:bottom w:val="single" w:sz="8" w:color="auto"/>
              <w:right w:val="single" w:sz="8" w:color="auto"/>
            </w:tcBorders>
          </w:tcPr>
          <w:p>
            <w:pPr>
              <w:spacing w:after="0"/>
              <w:rPr>
                <w:sz w:val="11"/>
                <w:szCs w:val="11"/>
                <w:color w:val="auto"/>
              </w:rPr>
            </w:pPr>
          </w:p>
        </w:tc>
        <w:tc>
          <w:tcPr>
            <w:tcW w:w="8120" w:type="dxa"/>
            <w:vAlign w:val="bottom"/>
            <w:tcBorders>
              <w:bottom w:val="single" w:sz="8" w:color="auto"/>
              <w:right w:val="single" w:sz="8" w:color="auto"/>
            </w:tcBorders>
          </w:tcPr>
          <w:p>
            <w:pPr>
              <w:spacing w:after="0"/>
              <w:rPr>
                <w:sz w:val="11"/>
                <w:szCs w:val="11"/>
                <w:color w:val="auto"/>
              </w:rPr>
            </w:pPr>
          </w:p>
        </w:tc>
      </w:tr>
      <w:tr>
        <w:trPr>
          <w:trHeight w:val="282"/>
        </w:trPr>
        <w:tc>
          <w:tcPr>
            <w:tcW w:w="31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ASC</w:t>
            </w: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 as issued by the FASB</w:t>
            </w:r>
          </w:p>
        </w:tc>
      </w:tr>
      <w:tr>
        <w:trPr>
          <w:trHeight w:val="237"/>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BDC</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 Development Company under the 1940 Act</w:t>
            </w:r>
          </w:p>
        </w:tc>
      </w:tr>
      <w:tr>
        <w:trPr>
          <w:trHeight w:val="41"/>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18"/>
        </w:trPr>
        <w:tc>
          <w:tcPr>
            <w:tcW w:w="31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BLA</w:t>
            </w: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Loan Agreement, as amended, with Banc of California, as lender, which provides the Company with</w:t>
            </w:r>
          </w:p>
        </w:tc>
      </w:tr>
      <w:tr>
        <w:trPr>
          <w:trHeight w:val="280"/>
        </w:trPr>
        <w:tc>
          <w:tcPr>
            <w:tcW w:w="314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senior secured revolving credit facility</w:t>
            </w:r>
          </w:p>
        </w:tc>
      </w:tr>
      <w:tr>
        <w:trPr>
          <w:trHeight w:val="183"/>
        </w:trPr>
        <w:tc>
          <w:tcPr>
            <w:tcW w:w="3140" w:type="dxa"/>
            <w:vAlign w:val="bottom"/>
            <w:tcBorders>
              <w:top w:val="single" w:sz="8" w:color="auto"/>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BNP Facility</w:t>
            </w:r>
          </w:p>
        </w:tc>
        <w:tc>
          <w:tcPr>
            <w:tcW w:w="8120" w:type="dxa"/>
            <w:vAlign w:val="bottom"/>
            <w:tcBorders>
              <w:top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A secured revolving credit facility, as amended, that provided for borrowings in an aggregate principal amount up to</w:t>
            </w:r>
          </w:p>
        </w:tc>
      </w:tr>
      <w:tr>
        <w:trPr>
          <w:trHeight w:val="194"/>
        </w:trPr>
        <w:tc>
          <w:tcPr>
            <w:tcW w:w="3140" w:type="dxa"/>
            <w:vAlign w:val="bottom"/>
            <w:tcBorders>
              <w:left w:val="single" w:sz="8" w:color="auto"/>
              <w:right w:val="single" w:sz="8" w:color="auto"/>
            </w:tcBorders>
          </w:tcPr>
          <w:p>
            <w:pPr>
              <w:spacing w:after="0"/>
              <w:rPr>
                <w:sz w:val="16"/>
                <w:szCs w:val="16"/>
                <w:color w:val="auto"/>
              </w:rPr>
            </w:pPr>
          </w:p>
        </w:tc>
        <w:tc>
          <w:tcPr>
            <w:tcW w:w="8120" w:type="dxa"/>
            <w:vAlign w:val="bottom"/>
            <w:tcBorders>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$80,000,000 during its reinvestment period, issued pursuant to a Revolving Credit and Security Agreement, as</w:t>
            </w:r>
          </w:p>
        </w:tc>
      </w:tr>
      <w:tr>
        <w:trPr>
          <w:trHeight w:val="203"/>
        </w:trPr>
        <w:tc>
          <w:tcPr>
            <w:tcW w:w="3140" w:type="dxa"/>
            <w:vAlign w:val="bottom"/>
            <w:tcBorders>
              <w:left w:val="single" w:sz="8" w:color="auto"/>
              <w:right w:val="single" w:sz="8" w:color="auto"/>
            </w:tcBorders>
          </w:tcPr>
          <w:p>
            <w:pPr>
              <w:spacing w:after="0"/>
              <w:rPr>
                <w:sz w:val="17"/>
                <w:szCs w:val="17"/>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amended, by and among OFSCC-FS, the lenders from time to time parties thereto, BNP Paribas, as administrative</w:t>
            </w:r>
          </w:p>
        </w:tc>
      </w:tr>
      <w:tr>
        <w:trPr>
          <w:trHeight w:val="203"/>
        </w:trPr>
        <w:tc>
          <w:tcPr>
            <w:tcW w:w="3140" w:type="dxa"/>
            <w:vAlign w:val="bottom"/>
            <w:tcBorders>
              <w:left w:val="single" w:sz="8" w:color="auto"/>
              <w:right w:val="single" w:sz="8" w:color="auto"/>
            </w:tcBorders>
          </w:tcPr>
          <w:p>
            <w:pPr>
              <w:spacing w:after="0"/>
              <w:rPr>
                <w:sz w:val="17"/>
                <w:szCs w:val="17"/>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agent, OFSCC-FS Holdings, LLC, a wholly owned subsidiary of the Company, as equityholder, the Company, as</w:t>
            </w:r>
          </w:p>
        </w:tc>
      </w:tr>
      <w:tr>
        <w:trPr>
          <w:trHeight w:val="203"/>
        </w:trPr>
        <w:tc>
          <w:tcPr>
            <w:tcW w:w="3140" w:type="dxa"/>
            <w:vAlign w:val="bottom"/>
            <w:tcBorders>
              <w:left w:val="single" w:sz="8" w:color="auto"/>
              <w:right w:val="single" w:sz="8" w:color="auto"/>
            </w:tcBorders>
          </w:tcPr>
          <w:p>
            <w:pPr>
              <w:spacing w:after="0"/>
              <w:rPr>
                <w:sz w:val="17"/>
                <w:szCs w:val="17"/>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servicer, Citibank, N.A., as collateral agent and Virtus Group, LP, as collateral administrator, which was fully repaid</w:t>
            </w:r>
          </w:p>
        </w:tc>
      </w:tr>
      <w:tr>
        <w:trPr>
          <w:trHeight w:val="222"/>
        </w:trPr>
        <w:tc>
          <w:tcPr>
            <w:tcW w:w="3140" w:type="dxa"/>
            <w:vAlign w:val="bottom"/>
            <w:tcBorders>
              <w:left w:val="single" w:sz="8" w:color="auto"/>
              <w:right w:val="single" w:sz="8" w:color="auto"/>
            </w:tcBorders>
          </w:tcPr>
          <w:p>
            <w:pPr>
              <w:spacing w:after="0"/>
              <w:rPr>
                <w:sz w:val="19"/>
                <w:szCs w:val="19"/>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and terminated on February 18, 2026</w:t>
            </w:r>
          </w:p>
        </w:tc>
      </w:tr>
      <w:tr>
        <w:trPr>
          <w:trHeight w:val="110"/>
        </w:trPr>
        <w:tc>
          <w:tcPr>
            <w:tcW w:w="3140" w:type="dxa"/>
            <w:vAlign w:val="bottom"/>
            <w:tcBorders>
              <w:left w:val="single" w:sz="8" w:color="auto"/>
              <w:bottom w:val="single" w:sz="8" w:color="auto"/>
              <w:right w:val="single" w:sz="8" w:color="auto"/>
            </w:tcBorders>
          </w:tcPr>
          <w:p>
            <w:pPr>
              <w:spacing w:after="0"/>
              <w:rPr>
                <w:sz w:val="9"/>
                <w:szCs w:val="9"/>
                <w:color w:val="auto"/>
              </w:rPr>
            </w:pPr>
          </w:p>
        </w:tc>
        <w:tc>
          <w:tcPr>
            <w:tcW w:w="8120" w:type="dxa"/>
            <w:vAlign w:val="bottom"/>
            <w:tcBorders>
              <w:bottom w:val="single" w:sz="8" w:color="auto"/>
              <w:right w:val="single" w:sz="8" w:color="auto"/>
            </w:tcBorders>
          </w:tcPr>
          <w:p>
            <w:pPr>
              <w:spacing w:after="0"/>
              <w:rPr>
                <w:sz w:val="9"/>
                <w:szCs w:val="9"/>
                <w:color w:val="auto"/>
              </w:rPr>
            </w:pPr>
          </w:p>
        </w:tc>
      </w:tr>
      <w:tr>
        <w:trPr>
          <w:trHeight w:val="282"/>
        </w:trPr>
        <w:tc>
          <w:tcPr>
            <w:tcW w:w="31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Board</w:t>
            </w: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board of directors</w:t>
            </w:r>
          </w:p>
        </w:tc>
      </w:tr>
      <w:tr>
        <w:trPr>
          <w:trHeight w:val="218"/>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Banc of California Credit Facility</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senior secured revolving credit facility, as amended, with Banc of California (formerly known as Pacific</w:t>
            </w:r>
          </w:p>
        </w:tc>
      </w:tr>
      <w:tr>
        <w:trPr>
          <w:trHeight w:val="216"/>
        </w:trPr>
        <w:tc>
          <w:tcPr>
            <w:tcW w:w="314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Western Bank), as lender, that provides for borrowings to the Company in an aggregate principal amount up to</w:t>
            </w:r>
          </w:p>
        </w:tc>
      </w:tr>
      <w:tr>
        <w:trPr>
          <w:trHeight w:val="234"/>
        </w:trPr>
        <w:tc>
          <w:tcPr>
            <w:tcW w:w="3140" w:type="dxa"/>
            <w:vAlign w:val="bottom"/>
            <w:tcBorders>
              <w:left w:val="single" w:sz="8" w:color="auto"/>
              <w:right w:val="single" w:sz="8" w:color="auto"/>
            </w:tcBorders>
          </w:tcPr>
          <w:p>
            <w:pPr>
              <w:spacing w:after="0"/>
              <w:rPr>
                <w:sz w:val="20"/>
                <w:szCs w:val="20"/>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$15,000,000</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82"/>
        </w:trPr>
        <w:tc>
          <w:tcPr>
            <w:tcW w:w="31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CLO</w:t>
            </w: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loan obligation</w:t>
            </w:r>
          </w:p>
        </w:tc>
      </w:tr>
      <w:tr>
        <w:trPr>
          <w:trHeight w:val="237"/>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Code</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82"/>
        </w:trPr>
        <w:tc>
          <w:tcPr>
            <w:tcW w:w="31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Company</w:t>
            </w: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OFS Capital Corporation and its consolidated subsidiaries</w:t>
            </w:r>
          </w:p>
        </w:tc>
      </w:tr>
      <w:tr>
        <w:trPr>
          <w:trHeight w:val="237"/>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DRIP</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 reinvestment plan</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82"/>
        </w:trPr>
        <w:tc>
          <w:tcPr>
            <w:tcW w:w="31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EBITDA</w:t>
            </w: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237"/>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Exchange Act</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82"/>
        </w:trPr>
        <w:tc>
          <w:tcPr>
            <w:tcW w:w="31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FASB</w:t>
            </w: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7"/>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FDIC</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82"/>
        </w:trPr>
        <w:tc>
          <w:tcPr>
            <w:tcW w:w="31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GAAP</w:t>
            </w: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w:t>
            </w:r>
          </w:p>
        </w:tc>
      </w:tr>
      <w:tr>
        <w:trPr>
          <w:trHeight w:val="218"/>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HPCI</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Hancock Park Corporate Income, Inc., a Maryland corporation and non-traded BDC, for which OFS Advisor</w:t>
            </w:r>
          </w:p>
        </w:tc>
      </w:tr>
      <w:tr>
        <w:trPr>
          <w:trHeight w:val="234"/>
        </w:trPr>
        <w:tc>
          <w:tcPr>
            <w:tcW w:w="3140" w:type="dxa"/>
            <w:vAlign w:val="bottom"/>
            <w:tcBorders>
              <w:left w:val="single" w:sz="8" w:color="auto"/>
              <w:right w:val="single" w:sz="8" w:color="auto"/>
            </w:tcBorders>
          </w:tcPr>
          <w:p>
            <w:pPr>
              <w:spacing w:after="0"/>
              <w:rPr>
                <w:sz w:val="20"/>
                <w:szCs w:val="20"/>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serves as investment adviser</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18"/>
        </w:trPr>
        <w:tc>
          <w:tcPr>
            <w:tcW w:w="31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ICTI</w:t>
            </w: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company taxable income, which is generally net ordinary income plus net short-term capital gains</w:t>
            </w:r>
          </w:p>
        </w:tc>
      </w:tr>
      <w:tr>
        <w:trPr>
          <w:trHeight w:val="280"/>
        </w:trPr>
        <w:tc>
          <w:tcPr>
            <w:tcW w:w="314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 net long-term capital losses</w:t>
            </w:r>
          </w:p>
        </w:tc>
      </w:tr>
      <w:tr>
        <w:trPr>
          <w:trHeight w:val="237"/>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Indicative Prices</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Market quotations, prices from pricing services or bids from brokers or dealers</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18"/>
        </w:trPr>
        <w:tc>
          <w:tcPr>
            <w:tcW w:w="31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 Advisory Agreement</w:t>
            </w: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Advisory and Management Agreement between the Company and OFS Advisor dated November</w:t>
            </w:r>
          </w:p>
        </w:tc>
      </w:tr>
      <w:tr>
        <w:trPr>
          <w:trHeight w:val="280"/>
        </w:trPr>
        <w:tc>
          <w:tcPr>
            <w:tcW w:w="314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7, 2012</w:t>
            </w:r>
          </w:p>
        </w:tc>
      </w:tr>
      <w:tr>
        <w:trPr>
          <w:trHeight w:val="182"/>
        </w:trPr>
        <w:tc>
          <w:tcPr>
            <w:tcW w:w="3140" w:type="dxa"/>
            <w:vAlign w:val="bottom"/>
            <w:tcBorders>
              <w:top w:val="single" w:sz="8" w:color="auto"/>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Natixis Facility</w:t>
            </w:r>
          </w:p>
        </w:tc>
        <w:tc>
          <w:tcPr>
            <w:tcW w:w="8120" w:type="dxa"/>
            <w:vAlign w:val="bottom"/>
            <w:tcBorders>
              <w:top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A secured revolving credit facility that provides for borrowings in an aggregate principal amount up to $80,000,000</w:t>
            </w:r>
          </w:p>
        </w:tc>
      </w:tr>
      <w:tr>
        <w:trPr>
          <w:trHeight w:val="194"/>
        </w:trPr>
        <w:tc>
          <w:tcPr>
            <w:tcW w:w="3140" w:type="dxa"/>
            <w:vAlign w:val="bottom"/>
            <w:tcBorders>
              <w:left w:val="single" w:sz="8" w:color="auto"/>
              <w:right w:val="single" w:sz="8" w:color="auto"/>
            </w:tcBorders>
          </w:tcPr>
          <w:p>
            <w:pPr>
              <w:spacing w:after="0"/>
              <w:rPr>
                <w:sz w:val="16"/>
                <w:szCs w:val="16"/>
                <w:color w:val="auto"/>
              </w:rPr>
            </w:pPr>
          </w:p>
        </w:tc>
        <w:tc>
          <w:tcPr>
            <w:tcW w:w="8120" w:type="dxa"/>
            <w:vAlign w:val="bottom"/>
            <w:tcBorders>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during its reinvestment period, issued pursuant to a Revolving Credit and Security Agreement by and among</w:t>
            </w:r>
          </w:p>
        </w:tc>
      </w:tr>
      <w:tr>
        <w:trPr>
          <w:trHeight w:val="203"/>
        </w:trPr>
        <w:tc>
          <w:tcPr>
            <w:tcW w:w="3140" w:type="dxa"/>
            <w:vAlign w:val="bottom"/>
            <w:tcBorders>
              <w:left w:val="single" w:sz="8" w:color="auto"/>
              <w:right w:val="single" w:sz="8" w:color="auto"/>
            </w:tcBorders>
          </w:tcPr>
          <w:p>
            <w:pPr>
              <w:spacing w:after="0"/>
              <w:rPr>
                <w:sz w:val="17"/>
                <w:szCs w:val="17"/>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OFSCC-FS, the lenders from time to time parties thereto, Natixis, New York branch, as administrative agent,</w:t>
            </w:r>
          </w:p>
        </w:tc>
      </w:tr>
      <w:tr>
        <w:trPr>
          <w:trHeight w:val="203"/>
        </w:trPr>
        <w:tc>
          <w:tcPr>
            <w:tcW w:w="3140" w:type="dxa"/>
            <w:vAlign w:val="bottom"/>
            <w:tcBorders>
              <w:left w:val="single" w:sz="8" w:color="auto"/>
              <w:right w:val="single" w:sz="8" w:color="auto"/>
            </w:tcBorders>
          </w:tcPr>
          <w:p>
            <w:pPr>
              <w:spacing w:after="0"/>
              <w:rPr>
                <w:sz w:val="17"/>
                <w:szCs w:val="17"/>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OFSCC-FS Holdings, LLC, a wholly owned subsidiary of the Company, as equityholder, the Company, as servicer,</w:t>
            </w:r>
          </w:p>
        </w:tc>
      </w:tr>
      <w:tr>
        <w:trPr>
          <w:trHeight w:val="223"/>
        </w:trPr>
        <w:tc>
          <w:tcPr>
            <w:tcW w:w="3140" w:type="dxa"/>
            <w:vAlign w:val="bottom"/>
            <w:tcBorders>
              <w:left w:val="single" w:sz="8" w:color="auto"/>
              <w:bottom w:val="single" w:sz="8" w:color="auto"/>
              <w:right w:val="single" w:sz="8" w:color="auto"/>
            </w:tcBorders>
          </w:tcPr>
          <w:p>
            <w:pPr>
              <w:spacing w:after="0"/>
              <w:rPr>
                <w:sz w:val="19"/>
                <w:szCs w:val="19"/>
                <w:color w:val="auto"/>
              </w:rPr>
            </w:pPr>
          </w:p>
        </w:tc>
        <w:tc>
          <w:tcPr>
            <w:tcW w:w="8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Citibank, N.A., as collateral agent and Virtus Group, LP, as collateral administrator</w:t>
            </w:r>
          </w:p>
        </w:tc>
      </w:tr>
      <w:tr>
        <w:trPr>
          <w:trHeight w:val="219"/>
        </w:trPr>
        <w:tc>
          <w:tcPr>
            <w:tcW w:w="31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NAV</w:t>
            </w: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value. NAV is calculated as consolidated total assets less consolidated total liabilities and can be</w:t>
            </w:r>
          </w:p>
        </w:tc>
      </w:tr>
      <w:tr>
        <w:trPr>
          <w:trHeight w:val="280"/>
        </w:trPr>
        <w:tc>
          <w:tcPr>
            <w:tcW w:w="314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expressed in the aggregate or on a per share basis</w:t>
            </w:r>
          </w:p>
        </w:tc>
      </w:tr>
      <w:tr>
        <w:trPr>
          <w:trHeight w:val="756"/>
        </w:trPr>
        <w:tc>
          <w:tcPr>
            <w:tcW w:w="3140" w:type="dxa"/>
            <w:vAlign w:val="bottom"/>
            <w:tcBorders>
              <w:top w:val="single" w:sz="8" w:color="auto"/>
              <w:bottom w:val="single" w:sz="8" w:color="9A9A9A"/>
            </w:tcBorders>
          </w:tcPr>
          <w:p>
            <w:pPr>
              <w:spacing w:after="0"/>
              <w:rPr>
                <w:sz w:val="24"/>
                <w:szCs w:val="24"/>
                <w:color w:val="auto"/>
              </w:rPr>
            </w:pPr>
          </w:p>
        </w:tc>
        <w:tc>
          <w:tcPr>
            <w:tcW w:w="812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3"/>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Explanation or Definition</w:t>
            </w:r>
          </w:p>
        </w:tc>
      </w:tr>
      <w:tr>
        <w:trPr>
          <w:trHeight w:val="24"/>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right w:val="single" w:sz="8" w:color="auto"/>
            </w:tcBorders>
          </w:tcPr>
          <w:p>
            <w:pPr>
              <w:spacing w:after="0"/>
              <w:rPr>
                <w:sz w:val="2"/>
                <w:szCs w:val="2"/>
                <w:color w:val="auto"/>
              </w:rPr>
            </w:pPr>
          </w:p>
        </w:tc>
      </w:tr>
      <w:tr>
        <w:trPr>
          <w:trHeight w:val="221"/>
        </w:trPr>
        <w:tc>
          <w:tcPr>
            <w:tcW w:w="31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Loan Fees</w:t>
            </w: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cumulative amount of fees, such as origination fees, discounts, premiums and amendment fees that are</w:t>
            </w:r>
          </w:p>
        </w:tc>
      </w:tr>
      <w:tr>
        <w:trPr>
          <w:trHeight w:val="280"/>
        </w:trPr>
        <w:tc>
          <w:tcPr>
            <w:tcW w:w="314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and recognized as income over the life of the loan</w:t>
            </w:r>
          </w:p>
        </w:tc>
      </w:tr>
      <w:tr>
        <w:trPr>
          <w:trHeight w:val="218"/>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OCCI</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OFS Credit Company, Inc., a Delaware corporation and a non-diversified, closed-end management investment</w:t>
            </w:r>
          </w:p>
        </w:tc>
      </w:tr>
      <w:tr>
        <w:trPr>
          <w:trHeight w:val="234"/>
        </w:trPr>
        <w:tc>
          <w:tcPr>
            <w:tcW w:w="3140" w:type="dxa"/>
            <w:vAlign w:val="bottom"/>
            <w:tcBorders>
              <w:left w:val="single" w:sz="8" w:color="auto"/>
              <w:right w:val="single" w:sz="8" w:color="auto"/>
            </w:tcBorders>
          </w:tcPr>
          <w:p>
            <w:pPr>
              <w:spacing w:after="0"/>
              <w:rPr>
                <w:sz w:val="20"/>
                <w:szCs w:val="20"/>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 for which OFS Advisor serves as investment adviser</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18"/>
        </w:trPr>
        <w:tc>
          <w:tcPr>
            <w:tcW w:w="31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OFS Advisor</w:t>
            </w: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OFS Capital Management, LLC, a wholly owned subsidiary of OFSAM and registered investment advisor</w:t>
            </w:r>
          </w:p>
        </w:tc>
      </w:tr>
      <w:tr>
        <w:trPr>
          <w:trHeight w:val="216"/>
        </w:trPr>
        <w:tc>
          <w:tcPr>
            <w:tcW w:w="3140" w:type="dxa"/>
            <w:vAlign w:val="bottom"/>
            <w:tcBorders>
              <w:left w:val="single" w:sz="8" w:color="auto"/>
              <w:right w:val="single" w:sz="8" w:color="auto"/>
            </w:tcBorders>
            <w:shd w:val="clear" w:color="auto" w:fill="CCEEFF"/>
          </w:tcPr>
          <w:p>
            <w:pPr>
              <w:spacing w:after="0"/>
              <w:rPr>
                <w:sz w:val="18"/>
                <w:szCs w:val="18"/>
                <w:color w:val="auto"/>
              </w:rPr>
            </w:pP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the Investment Advisers Act of 1940, as amended, focusing primarily on investments in middle market</w:t>
            </w:r>
          </w:p>
        </w:tc>
      </w:tr>
      <w:tr>
        <w:trPr>
          <w:trHeight w:val="234"/>
        </w:trPr>
        <w:tc>
          <w:tcPr>
            <w:tcW w:w="3140" w:type="dxa"/>
            <w:vAlign w:val="bottom"/>
            <w:tcBorders>
              <w:left w:val="single" w:sz="8" w:color="auto"/>
              <w:right w:val="single" w:sz="8" w:color="auto"/>
            </w:tcBorders>
            <w:shd w:val="clear" w:color="auto" w:fill="CCEEFF"/>
          </w:tcPr>
          <w:p>
            <w:pPr>
              <w:spacing w:after="0"/>
              <w:rPr>
                <w:sz w:val="20"/>
                <w:szCs w:val="20"/>
                <w:color w:val="auto"/>
              </w:rPr>
            </w:pP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and broadly syndicated loans, debt and equity positions in CLOs and other structured credit investments</w:t>
            </w:r>
          </w:p>
        </w:tc>
      </w:tr>
      <w:tr>
        <w:trPr>
          <w:trHeight w:val="108"/>
        </w:trPr>
        <w:tc>
          <w:tcPr>
            <w:tcW w:w="3140" w:type="dxa"/>
            <w:vAlign w:val="bottom"/>
            <w:tcBorders>
              <w:left w:val="single" w:sz="8" w:color="auto"/>
              <w:bottom w:val="single" w:sz="8" w:color="auto"/>
              <w:right w:val="single" w:sz="8" w:color="auto"/>
            </w:tcBorders>
            <w:shd w:val="clear" w:color="auto" w:fill="CCEEFF"/>
          </w:tcPr>
          <w:p>
            <w:pPr>
              <w:spacing w:after="0"/>
              <w:rPr>
                <w:sz w:val="9"/>
                <w:szCs w:val="9"/>
                <w:color w:val="auto"/>
              </w:rPr>
            </w:pPr>
          </w:p>
        </w:tc>
        <w:tc>
          <w:tcPr>
            <w:tcW w:w="8120" w:type="dxa"/>
            <w:vAlign w:val="bottom"/>
            <w:tcBorders>
              <w:bottom w:val="single" w:sz="8" w:color="auto"/>
              <w:right w:val="single" w:sz="8" w:color="auto"/>
            </w:tcBorders>
            <w:shd w:val="clear" w:color="auto" w:fill="CCEEFF"/>
          </w:tcPr>
          <w:p>
            <w:pPr>
              <w:spacing w:after="0"/>
              <w:rPr>
                <w:sz w:val="9"/>
                <w:szCs w:val="9"/>
                <w:color w:val="auto"/>
              </w:rPr>
            </w:pPr>
          </w:p>
        </w:tc>
      </w:tr>
      <w:tr>
        <w:trPr>
          <w:trHeight w:val="237"/>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OFS Services</w:t>
            </w: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OFS Capital Services, LLC, a wholly owned subsidiary of OFSAM and affiliate of OFS Advisor</w:t>
            </w:r>
          </w:p>
        </w:tc>
      </w:tr>
      <w:tr>
        <w:trPr>
          <w:trHeight w:val="189"/>
        </w:trPr>
        <w:tc>
          <w:tcPr>
            <w:tcW w:w="3140" w:type="dxa"/>
            <w:vAlign w:val="bottom"/>
            <w:tcBorders>
              <w:left w:val="single" w:sz="8" w:color="auto"/>
              <w:bottom w:val="single" w:sz="8" w:color="auto"/>
              <w:right w:val="single" w:sz="8" w:color="auto"/>
            </w:tcBorders>
          </w:tcPr>
          <w:p>
            <w:pPr>
              <w:spacing w:after="0"/>
              <w:rPr>
                <w:sz w:val="16"/>
                <w:szCs w:val="16"/>
                <w:color w:val="auto"/>
              </w:rPr>
            </w:pPr>
          </w:p>
        </w:tc>
        <w:tc>
          <w:tcPr>
            <w:tcW w:w="8120" w:type="dxa"/>
            <w:vAlign w:val="bottom"/>
            <w:tcBorders>
              <w:bottom w:val="single" w:sz="8" w:color="auto"/>
              <w:right w:val="single" w:sz="8" w:color="auto"/>
            </w:tcBorders>
          </w:tcPr>
          <w:p>
            <w:pPr>
              <w:spacing w:after="0"/>
              <w:rPr>
                <w:sz w:val="16"/>
                <w:szCs w:val="16"/>
                <w:color w:val="auto"/>
              </w:rPr>
            </w:pPr>
          </w:p>
        </w:tc>
      </w:tr>
      <w:tr>
        <w:trPr>
          <w:trHeight w:val="218"/>
        </w:trPr>
        <w:tc>
          <w:tcPr>
            <w:tcW w:w="31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OFSAM</w:t>
            </w: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Orchard First Source Asset Management, LLC, a subsidiary of OFSAM Holdings and a full-service provider</w:t>
            </w:r>
          </w:p>
        </w:tc>
      </w:tr>
      <w:tr>
        <w:trPr>
          <w:trHeight w:val="280"/>
        </w:trPr>
        <w:tc>
          <w:tcPr>
            <w:tcW w:w="314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capital and leveraged finance solutions to U.S. corporations</w:t>
            </w:r>
          </w:p>
        </w:tc>
      </w:tr>
      <w:tr>
        <w:trPr>
          <w:trHeight w:val="218"/>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OFSAM Holdings</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Orchard First Source Asset Management Holdings, LLC, a holding company consisting of asset management</w:t>
            </w:r>
          </w:p>
        </w:tc>
      </w:tr>
      <w:tr>
        <w:trPr>
          <w:trHeight w:val="216"/>
        </w:trPr>
        <w:tc>
          <w:tcPr>
            <w:tcW w:w="314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businesses, including OFS Advisor, a registered investment adviser focusing primarily on investments in</w:t>
            </w:r>
          </w:p>
        </w:tc>
      </w:tr>
      <w:tr>
        <w:trPr>
          <w:trHeight w:val="216"/>
        </w:trPr>
        <w:tc>
          <w:tcPr>
            <w:tcW w:w="314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middle market loans and broadly syndicated loans, debt and equity positions in CLOs and other structured</w:t>
            </w:r>
          </w:p>
        </w:tc>
      </w:tr>
      <w:tr>
        <w:trPr>
          <w:trHeight w:val="216"/>
        </w:trPr>
        <w:tc>
          <w:tcPr>
            <w:tcW w:w="314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credit investments, and OFS CLO Management, LLC, OFS CLO Management II, LLC and OFS CLO</w:t>
            </w:r>
          </w:p>
        </w:tc>
      </w:tr>
      <w:tr>
        <w:trPr>
          <w:trHeight w:val="216"/>
        </w:trPr>
        <w:tc>
          <w:tcPr>
            <w:tcW w:w="314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Management III, LLC, each a registered investment adviser focusing primarily on investments in broadly</w:t>
            </w:r>
          </w:p>
        </w:tc>
      </w:tr>
      <w:tr>
        <w:trPr>
          <w:trHeight w:val="234"/>
        </w:trPr>
        <w:tc>
          <w:tcPr>
            <w:tcW w:w="3140" w:type="dxa"/>
            <w:vAlign w:val="bottom"/>
            <w:tcBorders>
              <w:left w:val="single" w:sz="8" w:color="auto"/>
              <w:right w:val="single" w:sz="8" w:color="auto"/>
            </w:tcBorders>
          </w:tcPr>
          <w:p>
            <w:pPr>
              <w:spacing w:after="0"/>
              <w:rPr>
                <w:sz w:val="20"/>
                <w:szCs w:val="20"/>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syndicated loans</w:t>
            </w:r>
          </w:p>
        </w:tc>
      </w:tr>
      <w:tr>
        <w:trPr>
          <w:trHeight w:val="41"/>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82"/>
        </w:trPr>
        <w:tc>
          <w:tcPr>
            <w:tcW w:w="31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OFSCC-FS</w:t>
            </w: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OFSCC-FS, LLC, an indirect wholly owned subsidiary of the Company</w:t>
            </w:r>
          </w:p>
        </w:tc>
      </w:tr>
      <w:tr>
        <w:trPr>
          <w:trHeight w:val="237"/>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OFSCC-FS Assets</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Assets held by the Company through OFSCC-FS</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18"/>
        </w:trPr>
        <w:tc>
          <w:tcPr>
            <w:tcW w:w="31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OFSCC-MB</w:t>
            </w: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OFSCC-MB, Inc., a wholly owned subsidiary taxed under subchapter C of the Code that generally holds the</w:t>
            </w:r>
          </w:p>
        </w:tc>
      </w:tr>
      <w:tr>
        <w:trPr>
          <w:trHeight w:val="234"/>
        </w:trPr>
        <w:tc>
          <w:tcPr>
            <w:tcW w:w="3140" w:type="dxa"/>
            <w:vAlign w:val="bottom"/>
            <w:tcBorders>
              <w:left w:val="single" w:sz="8" w:color="auto"/>
              <w:right w:val="single" w:sz="8" w:color="auto"/>
            </w:tcBorders>
            <w:shd w:val="clear" w:color="auto" w:fill="CCEEFF"/>
          </w:tcPr>
          <w:p>
            <w:pPr>
              <w:spacing w:after="0"/>
              <w:rPr>
                <w:sz w:val="20"/>
                <w:szCs w:val="20"/>
                <w:color w:val="auto"/>
              </w:rPr>
            </w:pP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of the Company that are taxed as pass-through entities</w:t>
            </w:r>
          </w:p>
        </w:tc>
      </w:tr>
      <w:tr>
        <w:trPr>
          <w:trHeight w:val="162"/>
        </w:trPr>
        <w:tc>
          <w:tcPr>
            <w:tcW w:w="31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812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36"/>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OID</w:t>
            </w: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Original issue discount</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18"/>
        </w:trPr>
        <w:tc>
          <w:tcPr>
            <w:tcW w:w="31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Order</w:t>
            </w: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 exemptive relief order from the SEC to permit us to co-invest in portfolio companies with Affiliated Funds</w:t>
            </w:r>
          </w:p>
        </w:tc>
      </w:tr>
      <w:tr>
        <w:trPr>
          <w:trHeight w:val="216"/>
        </w:trPr>
        <w:tc>
          <w:tcPr>
            <w:tcW w:w="3140" w:type="dxa"/>
            <w:vAlign w:val="bottom"/>
            <w:tcBorders>
              <w:left w:val="single" w:sz="8" w:color="auto"/>
              <w:right w:val="single" w:sz="8" w:color="auto"/>
            </w:tcBorders>
            <w:shd w:val="clear" w:color="auto" w:fill="CCEEFF"/>
          </w:tcPr>
          <w:p>
            <w:pPr>
              <w:spacing w:after="0"/>
              <w:rPr>
                <w:sz w:val="18"/>
                <w:szCs w:val="18"/>
                <w:color w:val="auto"/>
              </w:rPr>
            </w:pP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a manner consistent with our investment objective, positions, policies, strategies and restrictions as well as</w:t>
            </w:r>
          </w:p>
        </w:tc>
      </w:tr>
      <w:tr>
        <w:trPr>
          <w:trHeight w:val="234"/>
        </w:trPr>
        <w:tc>
          <w:tcPr>
            <w:tcW w:w="3140" w:type="dxa"/>
            <w:vAlign w:val="bottom"/>
            <w:tcBorders>
              <w:left w:val="single" w:sz="8" w:color="auto"/>
              <w:right w:val="single" w:sz="8" w:color="auto"/>
            </w:tcBorders>
            <w:shd w:val="clear" w:color="auto" w:fill="CCEEFF"/>
          </w:tcPr>
          <w:p>
            <w:pPr>
              <w:spacing w:after="0"/>
              <w:rPr>
                <w:sz w:val="20"/>
                <w:szCs w:val="20"/>
                <w:color w:val="auto"/>
              </w:rPr>
            </w:pP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requirements and other pertinent factors, subject to compliance with certain conditions</w:t>
            </w:r>
          </w:p>
        </w:tc>
      </w:tr>
      <w:tr>
        <w:trPr>
          <w:trHeight w:val="121"/>
        </w:trPr>
        <w:tc>
          <w:tcPr>
            <w:tcW w:w="3140" w:type="dxa"/>
            <w:vAlign w:val="bottom"/>
            <w:tcBorders>
              <w:left w:val="single" w:sz="8" w:color="auto"/>
              <w:bottom w:val="single" w:sz="8" w:color="auto"/>
              <w:right w:val="single" w:sz="8" w:color="auto"/>
            </w:tcBorders>
            <w:shd w:val="clear" w:color="auto" w:fill="CCEEFF"/>
          </w:tcPr>
          <w:p>
            <w:pPr>
              <w:spacing w:after="0"/>
              <w:rPr>
                <w:sz w:val="10"/>
                <w:szCs w:val="10"/>
                <w:color w:val="auto"/>
              </w:rPr>
            </w:pPr>
          </w:p>
        </w:tc>
        <w:tc>
          <w:tcPr>
            <w:tcW w:w="8120" w:type="dxa"/>
            <w:vAlign w:val="bottom"/>
            <w:tcBorders>
              <w:bottom w:val="single" w:sz="8" w:color="auto"/>
              <w:right w:val="single" w:sz="8" w:color="auto"/>
            </w:tcBorders>
            <w:shd w:val="clear" w:color="auto" w:fill="CCEEFF"/>
          </w:tcPr>
          <w:p>
            <w:pPr>
              <w:spacing w:after="0"/>
              <w:rPr>
                <w:sz w:val="10"/>
                <w:szCs w:val="10"/>
                <w:color w:val="auto"/>
              </w:rPr>
            </w:pPr>
          </w:p>
        </w:tc>
      </w:tr>
      <w:tr>
        <w:trPr>
          <w:trHeight w:val="237"/>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Parent</w:t>
            </w: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OFS Capital Corporation</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18"/>
        </w:trPr>
        <w:tc>
          <w:tcPr>
            <w:tcW w:w="31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PIK</w:t>
            </w: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Payment-in-kind, non-cash interest or dividends payable as an addition to the loan or equity security producing</w:t>
            </w:r>
          </w:p>
        </w:tc>
      </w:tr>
      <w:tr>
        <w:trPr>
          <w:trHeight w:val="280"/>
        </w:trPr>
        <w:tc>
          <w:tcPr>
            <w:tcW w:w="314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income</w:t>
            </w:r>
          </w:p>
        </w:tc>
      </w:tr>
      <w:tr>
        <w:trPr>
          <w:trHeight w:val="218"/>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Portfolio Company Investment</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debt or equity investment in a portfolio company. Portfolio Company Investments exclude Structured</w:t>
            </w:r>
          </w:p>
        </w:tc>
      </w:tr>
      <w:tr>
        <w:trPr>
          <w:trHeight w:val="234"/>
        </w:trPr>
        <w:tc>
          <w:tcPr>
            <w:tcW w:w="3140" w:type="dxa"/>
            <w:vAlign w:val="bottom"/>
            <w:tcBorders>
              <w:left w:val="single" w:sz="8" w:color="auto"/>
              <w:right w:val="single" w:sz="8" w:color="auto"/>
            </w:tcBorders>
          </w:tcPr>
          <w:p>
            <w:pPr>
              <w:spacing w:after="0"/>
              <w:rPr>
                <w:sz w:val="20"/>
                <w:szCs w:val="20"/>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Finance Securities</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82"/>
        </w:trPr>
        <w:tc>
          <w:tcPr>
            <w:tcW w:w="31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Prime Rate</w:t>
            </w: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Prime interest rate</w:t>
            </w:r>
          </w:p>
        </w:tc>
      </w:tr>
      <w:tr>
        <w:trPr>
          <w:trHeight w:val="236"/>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RIC</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Regulated investment company under the Code</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82"/>
        </w:trPr>
        <w:tc>
          <w:tcPr>
            <w:tcW w:w="31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SBA</w:t>
            </w: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r>
      <w:tr>
        <w:trPr>
          <w:trHeight w:val="237"/>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SBIC</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fund licensed under the SBA Small Business Investment Company Program</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82"/>
        </w:trPr>
        <w:tc>
          <w:tcPr>
            <w:tcW w:w="31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SBIC I LP</w:t>
            </w: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OFS SBIC I, LP, a wholly owned subsidiary of the Company and former SBIC</w:t>
            </w:r>
          </w:p>
        </w:tc>
      </w:tr>
      <w:tr>
        <w:trPr>
          <w:trHeight w:val="237"/>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82"/>
        </w:trPr>
        <w:tc>
          <w:tcPr>
            <w:tcW w:w="31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Securities Act</w:t>
            </w:r>
          </w:p>
        </w:tc>
        <w:tc>
          <w:tcPr>
            <w:tcW w:w="8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237"/>
        </w:trPr>
        <w:tc>
          <w:tcPr>
            <w:tcW w:w="3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SOFR</w:t>
            </w:r>
          </w:p>
        </w:tc>
        <w:tc>
          <w:tcPr>
            <w:tcW w:w="8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218"/>
        </w:trPr>
        <w:tc>
          <w:tcPr>
            <w:tcW w:w="3140" w:type="dxa"/>
            <w:vAlign w:val="bottom"/>
            <w:tcBorders>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Securities Purchase Agreement</w:t>
            </w: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 agreement between the Company and an institutional accredited investor dated August 8, 2025 in which</w:t>
            </w:r>
          </w:p>
        </w:tc>
      </w:tr>
      <w:tr>
        <w:trPr>
          <w:trHeight w:val="234"/>
        </w:trPr>
        <w:tc>
          <w:tcPr>
            <w:tcW w:w="3140" w:type="dxa"/>
            <w:vAlign w:val="bottom"/>
            <w:tcBorders>
              <w:left w:val="single" w:sz="8" w:color="auto"/>
              <w:right w:val="single" w:sz="8" w:color="auto"/>
            </w:tcBorders>
            <w:shd w:val="clear" w:color="auto" w:fill="CCEEFF"/>
          </w:tcPr>
          <w:p>
            <w:pPr>
              <w:spacing w:after="0"/>
              <w:rPr>
                <w:sz w:val="20"/>
                <w:szCs w:val="20"/>
                <w:color w:val="auto"/>
              </w:rPr>
            </w:pPr>
          </w:p>
        </w:tc>
        <w:tc>
          <w:tcPr>
            <w:tcW w:w="8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 sold, in a private placement, the Unsecured Note Due August 2029</w:t>
            </w:r>
          </w:p>
        </w:tc>
      </w:tr>
      <w:tr>
        <w:trPr>
          <w:trHeight w:val="135"/>
        </w:trPr>
        <w:tc>
          <w:tcPr>
            <w:tcW w:w="314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8120" w:type="dxa"/>
            <w:vAlign w:val="bottom"/>
            <w:tcBorders>
              <w:bottom w:val="single" w:sz="8" w:color="auto"/>
              <w:right w:val="single" w:sz="8" w:color="auto"/>
            </w:tcBorders>
            <w:shd w:val="clear" w:color="auto" w:fill="CCEEFF"/>
          </w:tcPr>
          <w:p>
            <w:pPr>
              <w:spacing w:after="0"/>
              <w:rPr>
                <w:sz w:val="11"/>
                <w:szCs w:val="11"/>
                <w:color w:val="auto"/>
              </w:rPr>
            </w:pPr>
          </w:p>
        </w:tc>
      </w:tr>
      <w:tr>
        <w:trPr>
          <w:trHeight w:val="218"/>
        </w:trPr>
        <w:tc>
          <w:tcPr>
            <w:tcW w:w="3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Stock Repurchase Program</w:t>
            </w: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open market stock repurchase program for shares of the Company’s common stock under Rule 10b-18 of</w:t>
            </w:r>
          </w:p>
        </w:tc>
      </w:tr>
      <w:tr>
        <w:trPr>
          <w:trHeight w:val="234"/>
        </w:trPr>
        <w:tc>
          <w:tcPr>
            <w:tcW w:w="3140" w:type="dxa"/>
            <w:vAlign w:val="bottom"/>
            <w:tcBorders>
              <w:left w:val="single" w:sz="8" w:color="auto"/>
              <w:right w:val="single" w:sz="8" w:color="auto"/>
            </w:tcBorders>
          </w:tcPr>
          <w:p>
            <w:pPr>
              <w:spacing w:after="0"/>
              <w:rPr>
                <w:sz w:val="20"/>
                <w:szCs w:val="20"/>
                <w:color w:val="auto"/>
              </w:rPr>
            </w:pPr>
          </w:p>
        </w:tc>
        <w:tc>
          <w:tcPr>
            <w:tcW w:w="8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Exchange Act</w:t>
            </w: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r>
      <w:tr>
        <w:trPr>
          <w:trHeight w:val="756"/>
        </w:trPr>
        <w:tc>
          <w:tcPr>
            <w:tcW w:w="314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ind w:left="8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Structured Finance Securities</w:t>
      </w:r>
    </w:p>
    <w:p>
      <w:pPr>
        <w:spacing w:after="0" w:line="2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Unsecured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Explanation or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-153035</wp:posOffset>
            </wp:positionV>
            <wp:extent cx="7134225" cy="2042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204216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 mezzanine debt, CLO subordinated notes and CLO loan accumulation facility securities</w:t>
      </w:r>
    </w:p>
    <w:p>
      <w:pPr>
        <w:spacing w:after="0" w:line="198"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8"/>
          <w:szCs w:val="18"/>
          <w:color w:val="auto"/>
        </w:rPr>
        <w:t>The Unsecured Notes Due July 2028, the Unsecured Notes Due October 2028 and the Unsecured Note Due August 2029</w:t>
      </w:r>
    </w:p>
    <w:p>
      <w:pPr>
        <w:spacing w:after="0" w:line="1" w:lineRule="exact"/>
        <w:rPr>
          <w:sz w:val="20"/>
          <w:szCs w:val="20"/>
          <w:color w:val="auto"/>
        </w:rPr>
      </w:pPr>
    </w:p>
    <w:p>
      <w:pPr>
        <w:sectPr>
          <w:pgSz w:w="11900" w:h="16838" w:orient="portrait"/>
          <w:cols w:equalWidth="0" w:num="2">
            <w:col w:w="2440" w:space="720"/>
            <w:col w:w="8080"/>
          </w:cols>
          <w:pgMar w:left="320" w:top="819" w:right="339" w:bottom="1440" w:gutter="0" w:footer="0" w:header="0"/>
        </w:sectPr>
      </w:pPr>
    </w:p>
    <w:tbl>
      <w:tblPr>
        <w:tblLayout w:type="fixed"/>
        <w:tblInd w:w="0" w:type="dxa"/>
        <w:tblCellMar>
          <w:top w:w="0" w:type="dxa"/>
          <w:left w:w="0" w:type="dxa"/>
          <w:bottom w:w="0" w:type="dxa"/>
          <w:right w:w="0" w:type="dxa"/>
        </w:tblCellMar>
      </w:tblPr>
      <w:tr>
        <w:trPr>
          <w:trHeight w:val="213"/>
        </w:trPr>
        <w:tc>
          <w:tcPr>
            <w:tcW w:w="3120" w:type="dxa"/>
            <w:vAlign w:val="bottom"/>
            <w:tcBorders>
              <w:top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Unsecured Notes Due February 2026</w:t>
            </w:r>
          </w:p>
        </w:tc>
        <w:tc>
          <w:tcPr>
            <w:tcW w:w="8120" w:type="dxa"/>
            <w:vAlign w:val="bottom"/>
            <w:tcBorders>
              <w:top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Company’s $125.0 million aggregate principal amount of 4.75% notes due February 10, 2026, which were</w:t>
            </w:r>
          </w:p>
        </w:tc>
      </w:tr>
      <w:tr>
        <w:trPr>
          <w:trHeight w:val="216"/>
        </w:trPr>
        <w:tc>
          <w:tcPr>
            <w:tcW w:w="3120" w:type="dxa"/>
            <w:vAlign w:val="bottom"/>
            <w:tcBorders>
              <w:right w:val="single" w:sz="8" w:color="auto"/>
            </w:tcBorders>
            <w:shd w:val="clear" w:color="auto" w:fill="CCEEFF"/>
          </w:tcPr>
          <w:p>
            <w:pPr>
              <w:spacing w:after="0"/>
              <w:rPr>
                <w:sz w:val="18"/>
                <w:szCs w:val="18"/>
                <w:color w:val="auto"/>
              </w:rPr>
            </w:pPr>
          </w:p>
        </w:tc>
        <w:tc>
          <w:tcPr>
            <w:tcW w:w="812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partially redeemed on each of August 11, 2025, August 21, 2025 and December 30, 2025, and fully redeemed</w:t>
            </w:r>
          </w:p>
        </w:tc>
      </w:tr>
      <w:tr>
        <w:trPr>
          <w:trHeight w:val="280"/>
        </w:trPr>
        <w:tc>
          <w:tcPr>
            <w:tcW w:w="3120" w:type="dxa"/>
            <w:vAlign w:val="bottom"/>
            <w:tcBorders>
              <w:bottom w:val="single" w:sz="8" w:color="CCEEFF"/>
              <w:right w:val="single" w:sz="8" w:color="auto"/>
            </w:tcBorders>
            <w:shd w:val="clear" w:color="auto" w:fill="CCEEFF"/>
          </w:tcPr>
          <w:p>
            <w:pPr>
              <w:spacing w:after="0"/>
              <w:rPr>
                <w:sz w:val="23"/>
                <w:szCs w:val="23"/>
                <w:color w:val="auto"/>
              </w:rPr>
            </w:pPr>
          </w:p>
        </w:tc>
        <w:tc>
          <w:tcPr>
            <w:tcW w:w="81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 February 9, 2026</w:t>
            </w:r>
          </w:p>
        </w:tc>
      </w:tr>
      <w:tr>
        <w:trPr>
          <w:trHeight w:val="237"/>
        </w:trPr>
        <w:tc>
          <w:tcPr>
            <w:tcW w:w="31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Unsecured Notes Due July 2028</w:t>
            </w:r>
          </w:p>
        </w:tc>
        <w:tc>
          <w:tcPr>
            <w:tcW w:w="81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Company’s $69.0 million aggregate principal amount of 7.50% notes due July 31, 2028</w:t>
            </w:r>
          </w:p>
        </w:tc>
      </w:tr>
      <w:tr>
        <w:trPr>
          <w:trHeight w:val="176"/>
        </w:trPr>
        <w:tc>
          <w:tcPr>
            <w:tcW w:w="3120" w:type="dxa"/>
            <w:vAlign w:val="bottom"/>
            <w:tcBorders>
              <w:bottom w:val="single" w:sz="8" w:color="auto"/>
              <w:right w:val="single" w:sz="8" w:color="auto"/>
            </w:tcBorders>
          </w:tcPr>
          <w:p>
            <w:pPr>
              <w:spacing w:after="0"/>
              <w:rPr>
                <w:sz w:val="15"/>
                <w:szCs w:val="15"/>
                <w:color w:val="auto"/>
              </w:rPr>
            </w:pPr>
          </w:p>
        </w:tc>
        <w:tc>
          <w:tcPr>
            <w:tcW w:w="8120" w:type="dxa"/>
            <w:vAlign w:val="bottom"/>
            <w:tcBorders>
              <w:bottom w:val="single" w:sz="8" w:color="auto"/>
              <w:right w:val="single" w:sz="8" w:color="auto"/>
            </w:tcBorders>
          </w:tcPr>
          <w:p>
            <w:pPr>
              <w:spacing w:after="0"/>
              <w:rPr>
                <w:sz w:val="15"/>
                <w:szCs w:val="15"/>
                <w:color w:val="auto"/>
              </w:rPr>
            </w:pPr>
          </w:p>
        </w:tc>
      </w:tr>
      <w:tr>
        <w:trPr>
          <w:trHeight w:val="237"/>
        </w:trPr>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Unsecured Notes Due October 2028</w:t>
            </w:r>
          </w:p>
        </w:tc>
        <w:tc>
          <w:tcPr>
            <w:tcW w:w="812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Company’s $55.0 million aggregate principal amount of 4.95% notes due October 31, 2028</w:t>
            </w:r>
          </w:p>
        </w:tc>
      </w:tr>
      <w:tr>
        <w:trPr>
          <w:trHeight w:val="175"/>
        </w:trPr>
        <w:tc>
          <w:tcPr>
            <w:tcW w:w="3120" w:type="dxa"/>
            <w:vAlign w:val="bottom"/>
            <w:tcBorders>
              <w:bottom w:val="single" w:sz="8" w:color="auto"/>
              <w:right w:val="single" w:sz="8" w:color="auto"/>
            </w:tcBorders>
            <w:shd w:val="clear" w:color="auto" w:fill="CCEEFF"/>
          </w:tcPr>
          <w:p>
            <w:pPr>
              <w:spacing w:after="0"/>
              <w:rPr>
                <w:sz w:val="15"/>
                <w:szCs w:val="15"/>
                <w:color w:val="auto"/>
              </w:rPr>
            </w:pPr>
          </w:p>
        </w:tc>
        <w:tc>
          <w:tcPr>
            <w:tcW w:w="812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237"/>
        </w:trPr>
        <w:tc>
          <w:tcPr>
            <w:tcW w:w="3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Unsecured Note Due August 2029</w:t>
            </w:r>
          </w:p>
        </w:tc>
        <w:tc>
          <w:tcPr>
            <w:tcW w:w="8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Company’s $25.0 million principal amount 8.00% note due August 8, 2029</w:t>
            </w:r>
          </w:p>
        </w:tc>
      </w:tr>
      <w:tr>
        <w:trPr>
          <w:trHeight w:val="162"/>
        </w:trPr>
        <w:tc>
          <w:tcPr>
            <w:tcW w:w="3120" w:type="dxa"/>
            <w:vAlign w:val="bottom"/>
            <w:tcBorders>
              <w:bottom w:val="single" w:sz="8" w:color="auto"/>
              <w:right w:val="single" w:sz="8" w:color="auto"/>
            </w:tcBorders>
          </w:tcPr>
          <w:p>
            <w:pPr>
              <w:spacing w:after="0"/>
              <w:rPr>
                <w:sz w:val="14"/>
                <w:szCs w:val="14"/>
                <w:color w:val="auto"/>
              </w:rPr>
            </w:pPr>
          </w:p>
        </w:tc>
        <w:tc>
          <w:tcPr>
            <w:tcW w:w="8120" w:type="dxa"/>
            <w:vAlign w:val="bottom"/>
            <w:tcBorders>
              <w:bottom w:val="single" w:sz="8" w:color="auto"/>
              <w:right w:val="single" w:sz="8" w:color="auto"/>
            </w:tcBorders>
          </w:tcPr>
          <w:p>
            <w:pPr>
              <w:spacing w:after="0"/>
              <w:rPr>
                <w:sz w:val="14"/>
                <w:szCs w:val="14"/>
                <w:color w:val="auto"/>
              </w:rPr>
            </w:pPr>
          </w:p>
        </w:tc>
      </w:tr>
      <w:tr>
        <w:trPr>
          <w:trHeight w:val="757"/>
        </w:trPr>
        <w:tc>
          <w:tcPr>
            <w:tcW w:w="312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1"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experience operating a BDC or maintaining our tax treatment as a RIC under Subchapter M of the Code;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personnel;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develop referral relationships;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historical results;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OFS Advisor to identify, invest in and monitor companies that meet our investment criteria;</w:t>
      </w:r>
    </w:p>
    <w:p>
      <w:pPr>
        <w:spacing w:after="0" w:line="117" w:lineRule="exact"/>
        <w:rPr>
          <w:rFonts w:ascii="Times New Roman" w:cs="Times New Roman" w:eastAsia="Times New Roman" w:hAnsi="Times New Roman"/>
          <w:sz w:val="18"/>
          <w:szCs w:val="18"/>
          <w:color w:val="auto"/>
        </w:rPr>
      </w:pPr>
    </w:p>
    <w:p>
      <w:pPr>
        <w:ind w:left="1140" w:right="140" w:hanging="383"/>
        <w:spacing w:after="0" w:line="266"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carrying amounts of our financial instruments, such as cash, cash equivalents, receivables and payables approximate the fair value of such items due to the short maturity of such instruments and that such financial instruments are held with high credit quality institutions to mitigate the risk of loss due to credit risk;</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conflicts of interest with OFS Advisor and other affiliates of OFSAM Holdings;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 on investment due to access to material nonpublic information;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enter into transactions with our affiliates;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borrowed money to finance a portion of our investments;</w:t>
      </w:r>
    </w:p>
    <w:p>
      <w:pPr>
        <w:spacing w:after="0" w:line="117"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additional leverage pursuant to Section 61(a)(2) of the 1940 Act and the impact of such leverage on our net investment income and results of operations;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investment opportunities;</w:t>
      </w:r>
    </w:p>
    <w:p>
      <w:pPr>
        <w:spacing w:after="0" w:line="117" w:lineRule="exact"/>
        <w:rPr>
          <w:rFonts w:ascii="Times New Roman" w:cs="Times New Roman" w:eastAsia="Times New Roman" w:hAnsi="Times New Roman"/>
          <w:sz w:val="18"/>
          <w:szCs w:val="18"/>
          <w:color w:val="auto"/>
        </w:rPr>
      </w:pPr>
    </w:p>
    <w:p>
      <w:pPr>
        <w:ind w:left="1140" w:right="20" w:hanging="383"/>
        <w:spacing w:after="0" w:line="256"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seniority of our debt investments in a borrower’s capital structure may provide greater downside protection against adverse economic changes, including those caused by the impacts of interest rate and inflation rate changes, the ongoing war between Russia and Ukraine, the escalated armed conflict and heightened regional tensions in the Middle East, activity in South America, instability in the U.S. and international banking systems, the agenda of the U.S. presidential administration, including the impact of tariff enactment and tax reductions, trade disputes with other countries, the risk of recession or the impact of the prolonged shutdown of U.S. government services, and related market volatility on our business, our portfolio companies, our industry and the global economy;</w:t>
      </w:r>
    </w:p>
    <w:p>
      <w:pPr>
        <w:spacing w:after="0" w:line="7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investments that will bear interest on a floating rate or fixed rate basis;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our investments;</w:t>
      </w:r>
    </w:p>
    <w:p>
      <w:pPr>
        <w:spacing w:after="0" w:line="117"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alternative reference rates on our business, including potential additional interest rate changes approved by the U.S. Federal Reserve, which may impact our investment income, cost of funding and the valuation of our investments;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debt or equity capital as a BDC;</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form and amount of any distributions from our portfolio companies;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economy and its impact on the industries in which we invest;</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6" w:name="page7"/>
    <w:bookmarkEnd w:id="6"/>
    <w:p>
      <w:pPr>
        <w:ind w:left="1140" w:right="20" w:hanging="383"/>
        <w:spacing w:after="0" w:line="261"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political, economic and industry conditions, including changes in the interest rate environment, inflation, significant market volatility, supply chain and labor market disruptions, including those as a result of strikes, work stoppages or accidents, resource shortages and other conditions affecting the financial and capital markets, which, in turn, impacts our business prospects and the prospects of our portfolio companies;</w:t>
      </w:r>
    </w:p>
    <w:p>
      <w:pPr>
        <w:spacing w:after="0" w:line="71"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uncertainty surrounding the financial and political stability of the United States, the United Kingdom, the Middle East, the European Union, South America and China;</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credit facilities in the future on commercially reasonable terms, if at all;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we have sufficient levels of liquidity to support our existing portfolio companies;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our cash and cash equivalent balances are not exposed to any significant credit risk;</w:t>
      </w:r>
    </w:p>
    <w:p>
      <w:pPr>
        <w:spacing w:after="0" w:line="117"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information technology system failures, data security breaches, data privacy compliance, network disruptions, cybersecurity attacks and the increasing use of artificial intelligence and machine learning technology;</w:t>
      </w:r>
    </w:p>
    <w:p>
      <w:pPr>
        <w:spacing w:after="0" w:line="53"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 availability of additional capital on favorable terms to finance growth given our expectation to distribute substantially all of our net ordinary income and net realized capital gains to our stockholders;</w:t>
      </w:r>
    </w:p>
    <w:p>
      <w:pPr>
        <w:spacing w:after="0" w:line="53"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the fair value of our investments due to the inherent uncertainty of determining the fair value of investments that do not have a readily available market value;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new or modified laws or regulations, including accounting pronouncements and rule issuances, governing our operations.</w:t>
      </w:r>
    </w:p>
    <w:p>
      <w:pPr>
        <w:spacing w:after="0" w:line="11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among others, those described or identified in “Part I—Item 1A. Risk Factors” in our Annual Report on Form 10-K for the year ended December 31, 2025, filed on March 3, 2026. You should not place undue reliance on these forward-looking statements, which apply only as of the date of this Quarterly Report on Form 10-Q.</w:t>
      </w:r>
    </w:p>
    <w:p>
      <w:pPr>
        <w:spacing w:after="0" w:line="7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have based the forward-looking statements on information available to us on the date of this Quarterly Report on Form 10-Q. Except as required by the federal securities laws,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and projections contained in this Quarterly Report on Form 10-Q are excluded from the safe harbor protection provided by Section 21E of the Exchange Act.</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Non-control/non-affiliate investments (amortized cost of $268,628 and $300,748,</w:t>
            </w: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206,235</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242,070</w:t>
            </w:r>
          </w:p>
        </w:tc>
        <w:tc>
          <w:tcPr>
            <w:tcW w:w="100" w:type="dxa"/>
            <w:vAlign w:val="bottom"/>
            <w:shd w:val="clear" w:color="auto" w:fill="CFF0FC"/>
          </w:tcPr>
          <w:p>
            <w:pPr>
              <w:spacing w:after="0"/>
              <w:rPr>
                <w:sz w:val="18"/>
                <w:szCs w:val="18"/>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Affiliate investments (amortized cost of $28,154 and $27,652, respectively)</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99,945</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investments, at fair value (amortized cost of $296,782 and $328,400, respectively)</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308,120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342,015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Receivable for investments sold</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315,681</w:t>
            </w:r>
          </w:p>
        </w:tc>
        <w:tc>
          <w:tcPr>
            <w:tcW w:w="16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346,706</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Revolving lines of credit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53,450</w:t>
            </w:r>
          </w:p>
        </w:tc>
        <w:tc>
          <w:tcPr>
            <w:tcW w:w="16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55,450</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Unsecured Notes (net of deferred debt issuance costs of $2,554 and $2,812, respectively)</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146,446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162,188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Payable to adviser and affiliates (Note 3)</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shd w:val="clear" w:color="auto" w:fill="CFF0FC"/>
          </w:tcPr>
          <w:p>
            <w:pPr>
              <w:spacing w:after="0"/>
              <w:rPr>
                <w:sz w:val="17"/>
                <w:szCs w:val="17"/>
                <w:color w:val="auto"/>
              </w:rPr>
            </w:pP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Payable for investments purchased</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206,359</w:t>
            </w:r>
          </w:p>
        </w:tc>
        <w:tc>
          <w:tcPr>
            <w:tcW w:w="16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223,518</w:t>
            </w:r>
          </w:p>
        </w:tc>
        <w:tc>
          <w:tcPr>
            <w:tcW w:w="100" w:type="dxa"/>
            <w:vAlign w:val="bottom"/>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402"/>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2"/>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Preferred stock, par value of $0.01 per share, 2,000,000 shares authorized, -0- shares</w:t>
            </w: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issued and outstanding as of March 31, 2026 and December 31, 2025,</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par value of $0.01 per share, 100,000,000 shares authorized,</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13,398,078 shares issued and outstanding as of March 31, 2026 and</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r>
      <w:tr>
        <w:trPr>
          <w:trHeight w:val="20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Paid-in capital in excess of par</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174,195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174,195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accumulated losses</w:t>
            </w:r>
          </w:p>
        </w:tc>
        <w:tc>
          <w:tcPr>
            <w:tcW w:w="26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(65,007)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(51,141)</w:t>
            </w:r>
          </w:p>
        </w:tc>
      </w:tr>
      <w:tr>
        <w:trPr>
          <w:trHeight w:val="20"/>
        </w:trPr>
        <w:tc>
          <w:tcPr>
            <w:tcW w:w="7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109,322</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123,188</w:t>
            </w:r>
          </w:p>
        </w:tc>
        <w:tc>
          <w:tcPr>
            <w:tcW w:w="100" w:type="dxa"/>
            <w:vAlign w:val="bottom"/>
            <w:shd w:val="clear" w:color="auto" w:fill="CFF0FC"/>
          </w:tcPr>
          <w:p>
            <w:pPr>
              <w:spacing w:after="0"/>
              <w:rPr>
                <w:sz w:val="18"/>
                <w:szCs w:val="18"/>
                <w:color w:val="auto"/>
              </w:rPr>
            </w:pP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83"/>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net assets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315,681</w:t>
            </w:r>
          </w:p>
        </w:tc>
        <w:tc>
          <w:tcPr>
            <w:tcW w:w="16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346,706</w:t>
            </w:r>
          </w:p>
        </w:tc>
        <w:tc>
          <w:tcPr>
            <w:tcW w:w="100" w:type="dxa"/>
            <w:vAlign w:val="bottom"/>
          </w:tcPr>
          <w:p>
            <w:pPr>
              <w:spacing w:after="0"/>
              <w:rPr>
                <w:sz w:val="24"/>
                <w:szCs w:val="24"/>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common shares outstanding</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13,398,078</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13,398,078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per share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6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-3762375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-3762375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-2571115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-745490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Consolidated Financial Statements (unaudited).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gridSpan w:val="5"/>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5"/>
        </w:trPr>
        <w:tc>
          <w:tcPr>
            <w:tcW w:w="6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9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Non-control/non-affiliate investments</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9,580</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Affiliate investments</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interest income</w:t>
            </w:r>
          </w:p>
        </w:tc>
        <w:tc>
          <w:tcPr>
            <w:tcW w:w="10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7,411</w:t>
            </w:r>
          </w:p>
        </w:tc>
        <w:tc>
          <w:tcPr>
            <w:tcW w:w="28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9,580</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Payment-in-kind interest and dividend income:</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Non-control/non-affiliate investments</w:t>
            </w: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Affiliate investments</w:t>
            </w:r>
          </w:p>
        </w:tc>
        <w:tc>
          <w:tcPr>
            <w:tcW w:w="1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7"/>
                <w:szCs w:val="17"/>
                <w:color w:val="auto"/>
              </w:rPr>
            </w:pPr>
          </w:p>
        </w:tc>
      </w:tr>
      <w:tr>
        <w:trPr>
          <w:trHeight w:val="196"/>
        </w:trPr>
        <w:tc>
          <w:tcPr>
            <w:tcW w:w="6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payment-in-kind interest and dividend income</w:t>
            </w: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Dividend income:</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Non-control/non-affiliate investments</w:t>
            </w: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Affiliate investments</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dividend income</w:t>
            </w:r>
          </w:p>
        </w:tc>
        <w:tc>
          <w:tcPr>
            <w:tcW w:w="10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28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Fee income:</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Non-control/non-affiliate investments</w:t>
            </w:r>
          </w:p>
        </w:tc>
        <w:tc>
          <w:tcPr>
            <w:tcW w:w="10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9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1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8,904</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10,295</w:t>
            </w:r>
          </w:p>
        </w:tc>
        <w:tc>
          <w:tcPr>
            <w:tcW w:w="120" w:type="dxa"/>
            <w:vAlign w:val="bottom"/>
          </w:tcPr>
          <w:p>
            <w:pPr>
              <w:spacing w:after="0"/>
              <w:rPr>
                <w:sz w:val="17"/>
                <w:szCs w:val="17"/>
                <w:color w:val="auto"/>
              </w:rPr>
            </w:pPr>
          </w:p>
        </w:tc>
      </w:tr>
      <w:tr>
        <w:trPr>
          <w:trHeight w:val="19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Base management fee</w:t>
            </w: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Incentive Fee</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17"/>
                <w:szCs w:val="17"/>
                <w:color w:val="auto"/>
              </w:rPr>
            </w:pPr>
          </w:p>
        </w:tc>
      </w:tr>
      <w:tr>
        <w:trPr>
          <w:trHeight w:val="202"/>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Professional fees</w:t>
            </w: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Administration fee</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Pr>
          <w:p>
            <w:pPr>
              <w:spacing w:after="0"/>
              <w:rPr>
                <w:sz w:val="17"/>
                <w:szCs w:val="17"/>
                <w:color w:val="auto"/>
              </w:rPr>
            </w:pPr>
          </w:p>
        </w:tc>
      </w:tr>
      <w:tr>
        <w:trPr>
          <w:trHeight w:val="203"/>
        </w:trPr>
        <w:tc>
          <w:tcPr>
            <w:tcW w:w="69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expenses</w:t>
            </w:r>
          </w:p>
        </w:tc>
        <w:tc>
          <w:tcPr>
            <w:tcW w:w="10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expenses before base management fee waiver</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6,830</w:t>
            </w: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Base management fee waiver (see Note 3)</w:t>
            </w: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(220)</w:t>
            </w:r>
          </w:p>
        </w:tc>
        <w:tc>
          <w:tcPr>
            <w:tcW w:w="3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90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Total expenses, net of base management fee waiver</w:t>
            </w:r>
          </w:p>
        </w:tc>
        <w:tc>
          <w:tcPr>
            <w:tcW w:w="106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6,440</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6,830</w:t>
            </w:r>
          </w:p>
        </w:tc>
        <w:tc>
          <w:tcPr>
            <w:tcW w:w="120" w:type="dxa"/>
            <w:vAlign w:val="bottom"/>
            <w:tcBorders>
              <w:top w:val="single" w:sz="8" w:color="CFF0FC"/>
            </w:tcBorders>
          </w:tcPr>
          <w:p>
            <w:pPr>
              <w:spacing w:after="0"/>
              <w:rPr>
                <w:sz w:val="17"/>
                <w:szCs w:val="17"/>
                <w:color w:val="auto"/>
              </w:rPr>
            </w:pPr>
          </w:p>
        </w:tc>
      </w:tr>
      <w:tr>
        <w:trPr>
          <w:trHeight w:val="19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investment income</w:t>
            </w: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realized and unrealized gain (loss) on investments</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realized loss on non-control/non-affiliate investments</w:t>
            </w: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(11,301)</w:t>
            </w:r>
          </w:p>
        </w:tc>
        <w:tc>
          <w:tcPr>
            <w:tcW w:w="3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(2,587)</w:t>
            </w: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unrealized depreciation on non-control/non-affiliate investments</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(3,715)</w:t>
            </w:r>
          </w:p>
        </w:tc>
        <w:tc>
          <w:tcPr>
            <w:tcW w:w="3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(7,920)</w:t>
            </w: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unrealized appreciation (depreciation) on affiliate investments</w:t>
            </w: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(344)</w:t>
            </w: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tax (expense) benefit on net unrealized appreciation (depreciation)</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(344)</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7"/>
                <w:szCs w:val="17"/>
                <w:color w:val="auto"/>
              </w:rPr>
            </w:pPr>
          </w:p>
        </w:tc>
      </w:tr>
      <w:tr>
        <w:trPr>
          <w:trHeight w:val="20"/>
        </w:trPr>
        <w:tc>
          <w:tcPr>
            <w:tcW w:w="6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Net loss on investments</w:t>
            </w: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(13,922)</w:t>
            </w:r>
          </w:p>
        </w:tc>
        <w:tc>
          <w:tcPr>
            <w:tcW w:w="3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(10,752)</w:t>
            </w:r>
          </w:p>
        </w:tc>
      </w:tr>
      <w:tr>
        <w:trPr>
          <w:trHeight w:val="20"/>
        </w:trPr>
        <w:tc>
          <w:tcPr>
            <w:tcW w:w="69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(130)</w:t>
            </w:r>
          </w:p>
        </w:tc>
        <w:tc>
          <w:tcPr>
            <w:tcW w:w="3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decrease in net assets resulting from operations</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(11,588)</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(7,287)</w:t>
            </w:r>
          </w:p>
        </w:tc>
      </w:tr>
      <w:tr>
        <w:trPr>
          <w:trHeight w:val="183"/>
        </w:trPr>
        <w:tc>
          <w:tcPr>
            <w:tcW w:w="6900" w:type="dxa"/>
            <w:vAlign w:val="bottom"/>
            <w:tcBorders>
              <w:top w:val="single" w:sz="8" w:color="CFF0FC"/>
            </w:tcBorders>
          </w:tcPr>
          <w:p>
            <w:pPr>
              <w:spacing w:after="0"/>
              <w:rPr>
                <w:sz w:val="15"/>
                <w:szCs w:val="15"/>
                <w:color w:val="auto"/>
              </w:rPr>
            </w:pPr>
          </w:p>
        </w:tc>
        <w:tc>
          <w:tcPr>
            <w:tcW w:w="10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2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investment income per common share – basic and diluted</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shd w:val="clear" w:color="auto" w:fill="CFF0FC"/>
          </w:tcPr>
          <w:p>
            <w:pPr>
              <w:spacing w:after="0"/>
              <w:rPr>
                <w:sz w:val="19"/>
                <w:szCs w:val="19"/>
                <w:color w:val="auto"/>
              </w:rPr>
            </w:pP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net assets resulting from operations per common share – basic and diluted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(0.86)</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(0.54)</w:t>
            </w:r>
          </w:p>
        </w:tc>
      </w:tr>
      <w:tr>
        <w:trPr>
          <w:trHeight w:val="20"/>
        </w:trPr>
        <w:tc>
          <w:tcPr>
            <w:tcW w:w="6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declared per common share</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shd w:val="clear" w:color="auto" w:fill="CFF0FC"/>
          </w:tcPr>
          <w:p>
            <w:pPr>
              <w:spacing w:after="0"/>
              <w:rPr>
                <w:sz w:val="19"/>
                <w:szCs w:val="19"/>
                <w:color w:val="auto"/>
              </w:rPr>
            </w:pPr>
          </w:p>
        </w:tc>
      </w:tr>
      <w:tr>
        <w:trPr>
          <w:trHeight w:val="183"/>
        </w:trPr>
        <w:tc>
          <w:tcPr>
            <w:tcW w:w="6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Basic and diluted weighted-average common shares outstanding</w:t>
            </w:r>
          </w:p>
        </w:tc>
        <w:tc>
          <w:tcPr>
            <w:tcW w:w="106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13,398,078</w:t>
            </w:r>
          </w:p>
        </w:tc>
        <w:tc>
          <w:tcPr>
            <w:tcW w:w="280" w:type="dxa"/>
            <w:vAlign w:val="bottom"/>
            <w:tcBorders>
              <w:top w:val="single" w:sz="8" w:color="CFF0FC"/>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13,398,078</w:t>
            </w:r>
          </w:p>
        </w:tc>
        <w:tc>
          <w:tcPr>
            <w:tcW w:w="120" w:type="dxa"/>
            <w:vAlign w:val="bottom"/>
            <w:tcBorders>
              <w:top w:val="single" w:sz="8" w:color="CFF0FC"/>
            </w:tcBorders>
          </w:tcPr>
          <w:p>
            <w:pPr>
              <w:spacing w:after="0"/>
              <w:rPr>
                <w:sz w:val="15"/>
                <w:szCs w:val="15"/>
                <w:color w:val="auto"/>
              </w:rPr>
            </w:pPr>
          </w:p>
        </w:tc>
      </w:tr>
      <w:tr>
        <w:trPr>
          <w:trHeight w:val="20"/>
        </w:trPr>
        <w:tc>
          <w:tcPr>
            <w:tcW w:w="6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-3411220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-3411220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-2365375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-2365375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-2099945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-2099945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-1045210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-1045210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-770890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-753745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-770890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-488315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-471170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-488315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-179705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-179705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Consolidated Financial Statements (unaudited).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16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6"/>
        </w:trPr>
        <w:tc>
          <w:tcPr>
            <w:tcW w:w="4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4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 in</w:t>
            </w:r>
          </w:p>
        </w:tc>
        <w:tc>
          <w:tcPr>
            <w:tcW w:w="100" w:type="dxa"/>
            <w:vAlign w:val="bottom"/>
          </w:tcPr>
          <w:p>
            <w:pPr>
              <w:spacing w:after="0"/>
              <w:rPr>
                <w:sz w:val="17"/>
                <w:szCs w:val="17"/>
                <w:color w:val="auto"/>
              </w:rPr>
            </w:pPr>
          </w:p>
        </w:tc>
        <w:tc>
          <w:tcPr>
            <w:tcW w:w="90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20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Par</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Par</w:t>
            </w:r>
          </w:p>
        </w:tc>
        <w:tc>
          <w:tcPr>
            <w:tcW w:w="100" w:type="dxa"/>
            <w:vAlign w:val="bottom"/>
          </w:tcPr>
          <w:p>
            <w:pPr>
              <w:spacing w:after="0"/>
              <w:rPr>
                <w:sz w:val="17"/>
                <w:szCs w:val="17"/>
                <w:color w:val="auto"/>
              </w:rPr>
            </w:pPr>
          </w:p>
        </w:tc>
        <w:tc>
          <w:tcPr>
            <w:tcW w:w="92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excess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 net</w:t>
            </w:r>
          </w:p>
        </w:tc>
      </w:tr>
      <w:tr>
        <w:trPr>
          <w:trHeight w:val="215"/>
        </w:trPr>
        <w:tc>
          <w:tcPr>
            <w:tcW w:w="4200" w:type="dxa"/>
            <w:vAlign w:val="bottom"/>
          </w:tcPr>
          <w:p>
            <w:pPr>
              <w:spacing w:after="0"/>
              <w:rPr>
                <w:sz w:val="18"/>
                <w:szCs w:val="18"/>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par</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assets</w:t>
            </w:r>
          </w:p>
        </w:tc>
      </w:tr>
      <w:tr>
        <w:trPr>
          <w:trHeight w:val="185"/>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13,398,07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216"/>
        </w:trPr>
        <w:tc>
          <w:tcPr>
            <w:tcW w:w="4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184,912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172,225</w:t>
            </w: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net assets resulting from operations: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investment income</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3,465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3,465</w:t>
            </w:r>
          </w:p>
        </w:tc>
      </w:tr>
      <w:tr>
        <w:trPr>
          <w:trHeight w:val="203"/>
        </w:trPr>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realized loss on investments, net of taxes</w:t>
            </w:r>
          </w:p>
        </w:tc>
        <w:tc>
          <w:tcPr>
            <w:tcW w:w="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r>
      <w:tr>
        <w:trPr>
          <w:trHeight w:val="189"/>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unrealized depreciation on investments, net of deferred</w:t>
            </w: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216"/>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taxes</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(8,165)</w:t>
            </w: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Distribution declared</w:t>
            </w: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(4,555)</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196"/>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for the three month period ended March 31, 2025</w:t>
            </w: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(11,842)</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(11,842)</w:t>
            </w:r>
          </w:p>
        </w:tc>
      </w:tr>
      <w:tr>
        <w:trPr>
          <w:trHeight w:val="182"/>
        </w:trPr>
        <w:tc>
          <w:tcPr>
            <w:tcW w:w="42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Balances at March 31, 2025</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13,398,07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3"/>
        </w:trPr>
        <w:tc>
          <w:tcPr>
            <w:tcW w:w="420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184,912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160,383</w:t>
            </w:r>
          </w:p>
        </w:tc>
      </w:tr>
      <w:tr>
        <w:trPr>
          <w:trHeight w:val="20"/>
        </w:trPr>
        <w:tc>
          <w:tcPr>
            <w:tcW w:w="4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4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2025</w:t>
            </w: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13,398,07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216"/>
        </w:trPr>
        <w:tc>
          <w:tcPr>
            <w:tcW w:w="4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174,195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(51,141)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123,188</w:t>
            </w: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net assets resulting from operations: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investment income</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2,464</w:t>
            </w:r>
          </w:p>
        </w:tc>
      </w:tr>
      <w:tr>
        <w:trPr>
          <w:trHeight w:val="203"/>
        </w:trPr>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realized loss on investments, net of taxes</w:t>
            </w:r>
          </w:p>
        </w:tc>
        <w:tc>
          <w:tcPr>
            <w:tcW w:w="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(11,301)</w:t>
            </w:r>
          </w:p>
        </w:tc>
      </w:tr>
      <w:tr>
        <w:trPr>
          <w:trHeight w:val="189"/>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unrealized depreciation on investments, net of deferred</w:t>
            </w: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216"/>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taxes</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(2,621)</w:t>
            </w:r>
          </w:p>
        </w:tc>
      </w:tr>
      <w:tr>
        <w:trPr>
          <w:trHeight w:val="203"/>
        </w:trPr>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3"/>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 declared</w:t>
            </w: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(2,278)</w:t>
            </w:r>
          </w:p>
        </w:tc>
      </w:tr>
      <w:tr>
        <w:trPr>
          <w:trHeight w:val="196"/>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for the three month period ended March 31, 2026</w:t>
            </w: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(13,866)</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(13,866)</w:t>
            </w:r>
          </w:p>
        </w:tc>
      </w:tr>
      <w:tr>
        <w:trPr>
          <w:trHeight w:val="182"/>
        </w:trPr>
        <w:tc>
          <w:tcPr>
            <w:tcW w:w="42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Balances at March 31, 2026</w:t>
            </w: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13,398,07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233"/>
        </w:trPr>
        <w:tc>
          <w:tcPr>
            <w:tcW w:w="4200" w:type="dxa"/>
            <w:vAlign w:val="bottom"/>
            <w:shd w:val="clear" w:color="auto" w:fill="CFF0FC"/>
          </w:tcPr>
          <w:p>
            <w:pPr>
              <w:spacing w:after="0"/>
              <w:rPr>
                <w:sz w:val="20"/>
                <w:szCs w:val="20"/>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174,195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(65,007)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109,322</w:t>
            </w: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-2005330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-2005330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-2005330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-2005330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-2005330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-2005330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-427990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-427990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-427990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-427990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-427990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-427990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Consolidated Financial Statements (unaudited).</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02"/>
        </w:trPr>
        <w:tc>
          <w:tcPr>
            <w:tcW w:w="6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Pr>
          <w:p>
            <w:pPr>
              <w:spacing w:after="0"/>
              <w:rPr>
                <w:sz w:val="17"/>
                <w:szCs w:val="17"/>
                <w:color w:val="auto"/>
              </w:rPr>
            </w:pPr>
          </w:p>
        </w:tc>
      </w:tr>
      <w:tr>
        <w:trPr>
          <w:trHeight w:val="19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r>
      <w:tr>
        <w:trPr>
          <w:trHeight w:val="20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decrease in net assets resulting from operations</w:t>
            </w:r>
          </w:p>
        </w:tc>
        <w:tc>
          <w:tcPr>
            <w:tcW w:w="260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(11,588)</w:t>
            </w:r>
          </w:p>
        </w:tc>
        <w:tc>
          <w:tcPr>
            <w:tcW w:w="118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(7,287)</w:t>
            </w:r>
          </w:p>
        </w:tc>
      </w:tr>
      <w:tr>
        <w:trPr>
          <w:trHeight w:val="189"/>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decrease in net assets resulting from</w:t>
            </w:r>
          </w:p>
        </w:tc>
        <w:tc>
          <w:tcPr>
            <w:tcW w:w="16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r>
      <w:tr>
        <w:trPr>
          <w:trHeight w:val="216"/>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operations to net cash provided by operating activities:</w:t>
            </w:r>
          </w:p>
        </w:tc>
        <w:tc>
          <w:tcPr>
            <w:tcW w:w="1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02"/>
        </w:trPr>
        <w:tc>
          <w:tcPr>
            <w:tcW w:w="6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realized loss on investments, net of taxes</w:t>
            </w: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11,301</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2,587</w:t>
            </w:r>
          </w:p>
        </w:tc>
      </w:tr>
      <w:tr>
        <w:trPr>
          <w:trHeight w:val="203"/>
        </w:trPr>
        <w:tc>
          <w:tcPr>
            <w:tcW w:w="6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unrealized depreciation on investments, net of deferred taxes</w:t>
            </w: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2,621</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8,165</w:t>
            </w:r>
          </w:p>
        </w:tc>
      </w:tr>
      <w:tr>
        <w:trPr>
          <w:trHeight w:val="203"/>
        </w:trPr>
        <w:tc>
          <w:tcPr>
            <w:tcW w:w="6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Amortization of Net Loan Fees</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03"/>
        </w:trPr>
        <w:tc>
          <w:tcPr>
            <w:tcW w:w="6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Amendment fees received</w:t>
            </w: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6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Payment-in-kind interest and dividend income</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03"/>
        </w:trPr>
        <w:tc>
          <w:tcPr>
            <w:tcW w:w="6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Accretion of interest income on Structured Finance Securities</w:t>
            </w: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w:t>
            </w:r>
          </w:p>
        </w:tc>
      </w:tr>
      <w:tr>
        <w:trPr>
          <w:trHeight w:val="203"/>
        </w:trPr>
        <w:tc>
          <w:tcPr>
            <w:tcW w:w="6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365</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371</w:t>
            </w:r>
          </w:p>
        </w:tc>
      </w:tr>
      <w:tr>
        <w:trPr>
          <w:trHeight w:val="203"/>
        </w:trPr>
        <w:tc>
          <w:tcPr>
            <w:tcW w:w="6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and origination of portfolio investments</w:t>
            </w: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(10,411)</w:t>
            </w:r>
          </w:p>
        </w:tc>
      </w:tr>
      <w:tr>
        <w:trPr>
          <w:trHeight w:val="203"/>
        </w:trPr>
        <w:tc>
          <w:tcPr>
            <w:tcW w:w="6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Proceeds from principal payments on portfolio investments</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8,996</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3,290</w:t>
            </w:r>
          </w:p>
        </w:tc>
      </w:tr>
      <w:tr>
        <w:trPr>
          <w:trHeight w:val="203"/>
        </w:trPr>
        <w:tc>
          <w:tcPr>
            <w:tcW w:w="6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sale or redemption of portfolio investments</w:t>
            </w: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14,056</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3,137</w:t>
            </w:r>
          </w:p>
        </w:tc>
      </w:tr>
      <w:tr>
        <w:trPr>
          <w:trHeight w:val="203"/>
        </w:trPr>
        <w:tc>
          <w:tcPr>
            <w:tcW w:w="6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Proceeds from distributions received from portfolio investments</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2,478</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3,504</w:t>
            </w:r>
          </w:p>
        </w:tc>
      </w:tr>
      <w:tr>
        <w:trPr>
          <w:trHeight w:val="20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Interest and dividend receivable</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333</w:t>
            </w:r>
          </w:p>
        </w:tc>
      </w:tr>
      <w:tr>
        <w:trPr>
          <w:trHeight w:val="203"/>
        </w:trPr>
        <w:tc>
          <w:tcPr>
            <w:tcW w:w="6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Receivable for investments sold</w:t>
            </w: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7,147</w:t>
            </w:r>
          </w:p>
        </w:tc>
      </w:tr>
      <w:tr>
        <w:trPr>
          <w:trHeight w:val="203"/>
        </w:trPr>
        <w:tc>
          <w:tcPr>
            <w:tcW w:w="6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Interest payable</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(1,510)</w:t>
            </w:r>
          </w:p>
        </w:tc>
      </w:tr>
      <w:tr>
        <w:trPr>
          <w:trHeight w:val="203"/>
        </w:trPr>
        <w:tc>
          <w:tcPr>
            <w:tcW w:w="6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Payable to adviser and affiliates</w:t>
            </w: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03"/>
        </w:trPr>
        <w:tc>
          <w:tcPr>
            <w:tcW w:w="6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Payable for investments purchased</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496</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w:t>
            </w:r>
          </w:p>
        </w:tc>
      </w:tr>
      <w:tr>
        <w:trPr>
          <w:trHeight w:val="203"/>
        </w:trPr>
        <w:tc>
          <w:tcPr>
            <w:tcW w:w="6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6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196"/>
        </w:trPr>
        <w:tc>
          <w:tcPr>
            <w:tcW w:w="61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6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21,771</w:t>
            </w:r>
          </w:p>
        </w:tc>
        <w:tc>
          <w:tcPr>
            <w:tcW w:w="1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2,841</w:t>
            </w:r>
          </w:p>
        </w:tc>
      </w:tr>
      <w:tr>
        <w:trPr>
          <w:trHeight w:val="196"/>
        </w:trPr>
        <w:tc>
          <w:tcPr>
            <w:tcW w:w="6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20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paid to common stockholders</w:t>
            </w: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203"/>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Borrowings under revolving lines of credit</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70,200</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9,750</w:t>
            </w:r>
          </w:p>
        </w:tc>
      </w:tr>
      <w:tr>
        <w:trPr>
          <w:trHeight w:val="20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under revolving lines of credit</w:t>
            </w: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(72,200)</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(10,050)</w:t>
            </w:r>
          </w:p>
        </w:tc>
      </w:tr>
      <w:tr>
        <w:trPr>
          <w:trHeight w:val="203"/>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Redemption of Unsecured Notes</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16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1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6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(21,872)</w:t>
            </w:r>
          </w:p>
        </w:tc>
        <w:tc>
          <w:tcPr>
            <w:tcW w:w="1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(4,855)</w:t>
            </w:r>
          </w:p>
        </w:tc>
      </w:tr>
      <w:tr>
        <w:trPr>
          <w:trHeight w:val="196"/>
        </w:trPr>
        <w:tc>
          <w:tcPr>
            <w:tcW w:w="61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r>
      <w:tr>
        <w:trPr>
          <w:trHeight w:val="202"/>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20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16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3,359</w:t>
            </w:r>
          </w:p>
        </w:tc>
        <w:tc>
          <w:tcPr>
            <w:tcW w:w="1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6,068</w:t>
            </w:r>
          </w:p>
        </w:tc>
      </w:tr>
      <w:tr>
        <w:trPr>
          <w:trHeight w:val="236"/>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60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3,258</w:t>
            </w:r>
          </w:p>
        </w:tc>
        <w:tc>
          <w:tcPr>
            <w:tcW w:w="118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4,054</w:t>
            </w:r>
          </w:p>
        </w:tc>
      </w:tr>
      <w:tr>
        <w:trPr>
          <w:trHeight w:val="183"/>
        </w:trPr>
        <w:tc>
          <w:tcPr>
            <w:tcW w:w="6120" w:type="dxa"/>
            <w:vAlign w:val="bottom"/>
            <w:tcBorders>
              <w:top w:val="single" w:sz="8" w:color="CFF0FC"/>
            </w:tcBorders>
          </w:tcPr>
          <w:p>
            <w:pPr>
              <w:spacing w:after="0"/>
              <w:rPr>
                <w:sz w:val="15"/>
                <w:szCs w:val="15"/>
                <w:color w:val="auto"/>
              </w:rPr>
            </w:pPr>
          </w:p>
        </w:tc>
        <w:tc>
          <w:tcPr>
            <w:tcW w:w="1620" w:type="dxa"/>
            <w:vAlign w:val="bottom"/>
            <w:tcBorders>
              <w:top w:val="single" w:sz="8" w:color="CFF0FC"/>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20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210"/>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3,773</w:t>
            </w:r>
          </w:p>
        </w:tc>
        <w:tc>
          <w:tcPr>
            <w:tcW w:w="118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-1993265</wp:posOffset>
            </wp:positionV>
            <wp:extent cx="1111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-947420</wp:posOffset>
            </wp:positionV>
            <wp:extent cx="1111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-415925</wp:posOffset>
            </wp:positionV>
            <wp:extent cx="111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-398780</wp:posOffset>
            </wp:positionV>
            <wp:extent cx="111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Amortiz</w:t>
            </w:r>
          </w:p>
        </w:tc>
        <w:tc>
          <w:tcPr>
            <w:tcW w:w="100" w:type="dxa"/>
            <w:vAlign w:val="bottom"/>
          </w:tcPr>
          <w:p>
            <w:pPr>
              <w:spacing w:after="0"/>
              <w:rPr>
                <w:sz w:val="13"/>
                <w:szCs w:val="13"/>
                <w:color w:val="auto"/>
              </w:rPr>
            </w:pPr>
          </w:p>
        </w:tc>
        <w:tc>
          <w:tcPr>
            <w:tcW w:w="520" w:type="dxa"/>
            <w:vAlign w:val="bottom"/>
            <w:gridSpan w:val="2"/>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00" w:type="dxa"/>
            <w:vAlign w:val="bottom"/>
          </w:tcPr>
          <w:p>
            <w:pPr>
              <w:spacing w:after="0"/>
              <w:rPr>
                <w:sz w:val="12"/>
                <w:szCs w:val="12"/>
                <w:color w:val="auto"/>
              </w:rPr>
            </w:pPr>
          </w:p>
        </w:tc>
        <w:tc>
          <w:tcPr>
            <w:tcW w:w="520" w:type="dxa"/>
            <w:vAlign w:val="bottom"/>
            <w:gridSpan w:val="2"/>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9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6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5"/>
                <w:szCs w:val="15"/>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340" w:type="dxa"/>
            <w:vAlign w:val="bottom"/>
            <w:tcBorders>
              <w:top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Non-control/Non-affiliate</w:t>
            </w:r>
          </w:p>
        </w:tc>
        <w:tc>
          <w:tcPr>
            <w:tcW w:w="120" w:type="dxa"/>
            <w:vAlign w:val="bottom"/>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5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and Equity Investments</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34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12 Interactive, LLC (D/B/A PerkSpot)</w:t>
            </w:r>
          </w:p>
        </w:tc>
        <w:tc>
          <w:tcPr>
            <w:tcW w:w="120" w:type="dxa"/>
            <w:vAlign w:val="bottom"/>
            <w:shd w:val="clear" w:color="auto" w:fill="CCEEFF"/>
          </w:tcPr>
          <w:p>
            <w:pPr>
              <w:spacing w:after="0"/>
              <w:rPr>
                <w:sz w:val="10"/>
                <w:szCs w:val="10"/>
                <w:color w:val="auto"/>
              </w:rPr>
            </w:pPr>
          </w:p>
        </w:tc>
        <w:tc>
          <w:tcPr>
            <w:tcW w:w="1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 Publishers</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(22)</w:t>
            </w: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9.45 %</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SOFR+5.75 %</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9/5/2025</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9/5/2030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1,449</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  1,438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1,43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9.45 %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SOFR+5.75 %</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9/5/2025</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3/5/2027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1,117</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1,10</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1"/>
        </w:trPr>
        <w:tc>
          <w:tcPr>
            <w:tcW w:w="23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n/m (18)</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SOFR+5.75 %</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9/5/2025</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9/5/2030</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19"/>
        </w:trPr>
        <w:tc>
          <w:tcPr>
            <w:tcW w:w="7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2,566</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2,52</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71"/>
        </w:trPr>
        <w:tc>
          <w:tcPr>
            <w:tcW w:w="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24 Seven Holdco, LLC (15)</w:t>
            </w: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Temporary Help Services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10.91 %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SOFR+7.13 %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1/28/2022</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11/16/2027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8,363</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8,345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8,34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0" w:type="dxa"/>
            <w:vAlign w:val="bottom"/>
          </w:tcPr>
          <w:p>
            <w:pPr>
              <w:spacing w:after="0"/>
              <w:rPr>
                <w:sz w:val="1"/>
                <w:szCs w:val="1"/>
                <w:color w:val="auto"/>
              </w:rPr>
            </w:pPr>
          </w:p>
        </w:tc>
      </w:tr>
      <w:tr>
        <w:trPr>
          <w:trHeight w:val="171"/>
        </w:trPr>
        <w:tc>
          <w:tcPr>
            <w:tcW w:w="23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AIDC IntermediateCo 2, LLC (15)</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Computer Systems Design</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8.92 %</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SOFR+5.25 %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7/22/2022</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7/22/2027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1,935</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1,93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Borders>
              <w:bottom w:val="single" w:sz="8" w:color="CCEEFF"/>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8.92 %</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SOFR+5.25 %</w:t>
            </w:r>
          </w:p>
        </w:tc>
        <w:tc>
          <w:tcPr>
            <w:tcW w:w="940" w:type="dxa"/>
            <w:vAlign w:val="bottom"/>
            <w:tcBorders>
              <w:bottom w:val="single" w:sz="8" w:color="CCEEFF"/>
            </w:tcBorders>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7/31/2023</w:t>
            </w:r>
          </w:p>
        </w:tc>
        <w:tc>
          <w:tcPr>
            <w:tcW w:w="940" w:type="dxa"/>
            <w:vAlign w:val="bottom"/>
            <w:tcBorders>
              <w:bottom w:val="single" w:sz="8" w:color="CCEEFF"/>
            </w:tcBorders>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7/22/2027</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1,980</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1,967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1,97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Cable and Other</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Allen Media, LLC (15)</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Subscription</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Programming</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9.35 %</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SOFR+5.50 %</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3/2/2021</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2/10/2027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3,642</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3,642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2,74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Associated Spring, LLC (15)</w:t>
            </w: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Spring Manufacturing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8.53 %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SOFR+4.75 %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12/10/2024</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4/4/2030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2,205</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2,171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2,19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71"/>
        </w:trPr>
        <w:tc>
          <w:tcPr>
            <w:tcW w:w="23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First Lien Debt (Delayed Draw) (5)</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8.52 %</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SOFR+4.75 %</w:t>
            </w:r>
          </w:p>
        </w:tc>
        <w:tc>
          <w:tcPr>
            <w:tcW w:w="9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12/10/2024</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4/4/2030</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19"/>
        </w:trPr>
        <w:tc>
          <w:tcPr>
            <w:tcW w:w="7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2,648</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2,607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2,63</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71"/>
        </w:trPr>
        <w:tc>
          <w:tcPr>
            <w:tcW w:w="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Communication</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Asurion, LLC (14) (15)</w:t>
            </w: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Equipment Repair 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Maintenance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7.92 %</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SOFR+4.25 %</w:t>
            </w:r>
          </w:p>
        </w:tc>
        <w:tc>
          <w:tcPr>
            <w:tcW w:w="9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10/28/2025</w:t>
            </w:r>
          </w:p>
        </w:tc>
        <w:tc>
          <w:tcPr>
            <w:tcW w:w="9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9/19/2030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Avison Young Inc. (16)</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Nonresidential Property</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Managers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5.81% cash</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SOFR+8.50 %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12/18/2025</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12/12/2027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86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6.50% PIK</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4.66% cash</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SOFR+7.35 %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12/18/2025</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12/12/2027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23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6.50% PIK</w:t>
            </w: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4.94% cash</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SOFR+7.50 %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11/25/2021</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3/12/2029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1,666</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1,666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1,54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6.50% PIK</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5.81% cash</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SOFR+8.50 %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12/18/2025</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12/12/2027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3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6.50% PIK</w:t>
            </w: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First Lien Debt (6) (10) (11) (15)</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4.90% cash</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SOFR+7.50 %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11/25/2021</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3/12/2029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327</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269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6.50% PIK</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Equity (1,185 Class B units)</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3/12/2024</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1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 (13) (15)</w:t>
            </w: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Preferred Equity (1,715 Class A</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3/12/2024</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vMerge w:val="restart"/>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58"/>
        </w:trPr>
        <w:tc>
          <w:tcPr>
            <w:tcW w:w="234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4"/>
                <w:szCs w:val="14"/>
                <w:color w:val="auto"/>
              </w:rPr>
              <w:t>units) 12.5% PIK (10) (13) (15)</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2,347</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4,889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2,51</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71"/>
        </w:trPr>
        <w:tc>
          <w:tcPr>
            <w:tcW w:w="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-3505200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-3505200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-3505200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Amortiz</w:t>
            </w:r>
          </w:p>
        </w:tc>
        <w:tc>
          <w:tcPr>
            <w:tcW w:w="100" w:type="dxa"/>
            <w:vAlign w:val="bottom"/>
          </w:tcPr>
          <w:p>
            <w:pPr>
              <w:spacing w:after="0"/>
              <w:rPr>
                <w:sz w:val="13"/>
                <w:szCs w:val="13"/>
                <w:color w:val="auto"/>
              </w:rPr>
            </w:pPr>
          </w:p>
        </w:tc>
        <w:tc>
          <w:tcPr>
            <w:tcW w:w="5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00" w:type="dxa"/>
            <w:vAlign w:val="bottom"/>
          </w:tcPr>
          <w:p>
            <w:pPr>
              <w:spacing w:after="0"/>
              <w:rPr>
                <w:sz w:val="12"/>
                <w:szCs w:val="12"/>
                <w:color w:val="auto"/>
              </w:rPr>
            </w:pPr>
          </w:p>
        </w:tc>
        <w:tc>
          <w:tcPr>
            <w:tcW w:w="5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9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6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5"/>
                <w:szCs w:val="15"/>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19"/>
        </w:trPr>
        <w:tc>
          <w:tcPr>
            <w:tcW w:w="2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Outpatient Mental Health</w:t>
            </w: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BayMark Health Services, Inc. (6) (15)</w:t>
            </w: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and Substance Abuse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Centers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14.46 %</w:t>
            </w:r>
          </w:p>
        </w:tc>
        <w:tc>
          <w:tcPr>
            <w:tcW w:w="1040" w:type="dxa"/>
            <w:vAlign w:val="bottom"/>
            <w:gridSpan w:val="2"/>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10.50</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6/10/2021</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6/11/2028</w:t>
            </w: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4,962</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4,931</w:t>
            </w:r>
          </w:p>
        </w:tc>
        <w:tc>
          <w:tcPr>
            <w:tcW w:w="6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SOFR+%</w:t>
            </w: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14.46 %</w:t>
            </w:r>
          </w:p>
        </w:tc>
        <w:tc>
          <w:tcPr>
            <w:tcW w:w="1040" w:type="dxa"/>
            <w:vAlign w:val="bottom"/>
            <w:gridSpan w:val="2"/>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10.50</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6/10/2021</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6/11/2028</w:t>
            </w:r>
          </w:p>
        </w:tc>
        <w:tc>
          <w:tcPr>
            <w:tcW w:w="120" w:type="dxa"/>
            <w:vAlign w:val="bottom"/>
            <w:vMerge w:val="restart"/>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3,988</w:t>
            </w:r>
          </w:p>
        </w:tc>
        <w:tc>
          <w:tcPr>
            <w:tcW w:w="120" w:type="dxa"/>
            <w:vAlign w:val="bottom"/>
            <w:vMerge w:val="restart"/>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3,961</w:t>
            </w:r>
          </w:p>
        </w:tc>
        <w:tc>
          <w:tcPr>
            <w:tcW w:w="100" w:type="dxa"/>
            <w:vAlign w:val="bottom"/>
            <w:vMerge w:val="restart"/>
          </w:tcPr>
          <w:p>
            <w:pPr>
              <w:spacing w:after="0"/>
              <w:rPr>
                <w:sz w:val="10"/>
                <w:szCs w:val="10"/>
                <w:color w:val="auto"/>
              </w:rPr>
            </w:pP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3"/>
        </w:trPr>
        <w:tc>
          <w:tcPr>
            <w:tcW w:w="2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68"/>
              <w:spacing w:after="0" w:line="158" w:lineRule="exact"/>
              <w:rPr>
                <w:sz w:val="20"/>
                <w:szCs w:val="20"/>
                <w:color w:val="auto"/>
              </w:rPr>
            </w:pPr>
            <w:r>
              <w:rPr>
                <w:rFonts w:ascii="Times New Roman" w:cs="Times New Roman" w:eastAsia="Times New Roman" w:hAnsi="Times New Roman"/>
                <w:sz w:val="14"/>
                <w:szCs w:val="14"/>
                <w:color w:val="auto"/>
              </w:rPr>
              <w:t>SOFR+%</w:t>
            </w:r>
          </w:p>
        </w:tc>
        <w:tc>
          <w:tcPr>
            <w:tcW w:w="9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8,950</w:t>
            </w:r>
          </w:p>
        </w:tc>
        <w:tc>
          <w:tcPr>
            <w:tcW w:w="76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8,892</w:t>
            </w:r>
          </w:p>
        </w:tc>
        <w:tc>
          <w:tcPr>
            <w:tcW w:w="62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Computer and Computer</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Blackhawk Network Holdings, Inc. (14)</w:t>
            </w: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Peripheral Equipment 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Software Merchant</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(15)</w:t>
            </w:r>
          </w:p>
        </w:tc>
        <w:tc>
          <w:tcPr>
            <w:tcW w:w="12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Wholesalers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7.17 %</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SOFR+3.50 %</w:t>
            </w:r>
          </w:p>
        </w:tc>
        <w:tc>
          <w:tcPr>
            <w:tcW w:w="9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3/25/2026</w:t>
            </w:r>
          </w:p>
        </w:tc>
        <w:tc>
          <w:tcPr>
            <w:tcW w:w="9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3/12/2029</w:t>
            </w:r>
          </w:p>
        </w:tc>
        <w:tc>
          <w:tcPr>
            <w:tcW w:w="9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499</w:t>
            </w: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6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Services for the Elderly</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Boca Home Care Holdings, Inc. (20)</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and Persons with</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Disabilities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10.42 %</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SOFR+6.50 %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2/25/2022</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2/25/2027</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8,946</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8,919</w:t>
            </w:r>
          </w:p>
        </w:tc>
        <w:tc>
          <w:tcPr>
            <w:tcW w:w="62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8,94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10.42 %</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SOFR+6.50 %</w:t>
            </w:r>
          </w:p>
        </w:tc>
        <w:tc>
          <w:tcPr>
            <w:tcW w:w="9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2/25/2022</w:t>
            </w:r>
          </w:p>
        </w:tc>
        <w:tc>
          <w:tcPr>
            <w:tcW w:w="9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2/25/2027</w:t>
            </w:r>
          </w:p>
        </w:tc>
        <w:tc>
          <w:tcPr>
            <w:tcW w:w="9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6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26"/>
        </w:trPr>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Equity (1,290 Class A units)</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2/25/2022</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1,290</w:t>
            </w:r>
          </w:p>
        </w:tc>
        <w:tc>
          <w:tcPr>
            <w:tcW w:w="6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878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0" w:type="dxa"/>
            <w:vAlign w:val="bottom"/>
          </w:tcPr>
          <w:p>
            <w:pPr>
              <w:spacing w:after="0"/>
              <w:rPr>
                <w:sz w:val="1"/>
                <w:szCs w:val="1"/>
                <w:color w:val="auto"/>
              </w:rPr>
            </w:pPr>
          </w:p>
        </w:tc>
      </w:tr>
      <w:tr>
        <w:trPr>
          <w:trHeight w:val="171"/>
        </w:trPr>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 (13)</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Equity (3,446 Class A</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3/3/2023</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vMerge w:val="restart"/>
            <w:shd w:val="clear" w:color="auto" w:fill="CCEEFF"/>
          </w:tcPr>
          <w:p>
            <w:pPr>
              <w:spacing w:after="0"/>
              <w:rPr>
                <w:sz w:val="10"/>
                <w:szCs w:val="10"/>
                <w:color w:val="auto"/>
              </w:rPr>
            </w:pPr>
          </w:p>
        </w:tc>
        <w:tc>
          <w:tcPr>
            <w:tcW w:w="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vMerge w:val="restart"/>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58"/>
        </w:trPr>
        <w:tc>
          <w:tcPr>
            <w:tcW w:w="2340" w:type="dxa"/>
            <w:vAlign w:val="bottom"/>
            <w:tcBorders>
              <w:bottom w:val="single" w:sz="8" w:color="CCEEFF"/>
            </w:tcBorders>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Units), 12% cash / 2% PIK</w:t>
            </w:r>
          </w:p>
        </w:tc>
        <w:tc>
          <w:tcPr>
            <w:tcW w:w="1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9,172</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10,777</w:t>
            </w:r>
          </w:p>
        </w:tc>
        <w:tc>
          <w:tcPr>
            <w:tcW w:w="620" w:type="dxa"/>
            <w:vAlign w:val="bottom"/>
            <w:gridSpan w:val="2"/>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10,4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Clevertech Bidco, LLC</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Commodity Contracts</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Dealing</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10.60 %</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SOFR+6.75 %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11/3/2023</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12/30/2027</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3,125</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3,084</w:t>
            </w:r>
          </w:p>
        </w:tc>
        <w:tc>
          <w:tcPr>
            <w:tcW w:w="62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2,96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10.60 %</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SOFR+6.75 %</w:t>
            </w:r>
          </w:p>
        </w:tc>
        <w:tc>
          <w:tcPr>
            <w:tcW w:w="940" w:type="dxa"/>
            <w:vAlign w:val="bottom"/>
            <w:tcBorders>
              <w:bottom w:val="single" w:sz="8" w:color="CCEEFF"/>
            </w:tcBorders>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11/3/2023</w:t>
            </w:r>
          </w:p>
        </w:tc>
        <w:tc>
          <w:tcPr>
            <w:tcW w:w="940" w:type="dxa"/>
            <w:vAlign w:val="bottom"/>
            <w:tcBorders>
              <w:bottom w:val="single" w:sz="8" w:color="CCEEFF"/>
            </w:tcBorders>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12/30/2027</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3,237</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3,192</w:t>
            </w:r>
          </w:p>
        </w:tc>
        <w:tc>
          <w:tcPr>
            <w:tcW w:w="620" w:type="dxa"/>
            <w:vAlign w:val="bottom"/>
            <w:gridSpan w:val="2"/>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3,06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Justice, Public</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Constellis Holdings, LLC (10)</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Order, and Safety</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Activities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Equity (20,628 common</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3/27/2020</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703</w:t>
            </w:r>
          </w:p>
        </w:tc>
        <w:tc>
          <w:tcPr>
            <w:tcW w:w="6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Excelin Home Health, LLC (6)</w:t>
            </w: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Home Health Care</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18.00% PIK</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10/25/2018</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10/1/2026</w:t>
            </w: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7,439</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6,765</w:t>
            </w:r>
          </w:p>
        </w:tc>
        <w:tc>
          <w:tcPr>
            <w:tcW w:w="620" w:type="dxa"/>
            <w:vAlign w:val="bottom"/>
            <w:gridSpan w:val="2"/>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1,79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3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GoTo Group (F/K/A LogMeIn, Inc.)</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Data Processing, Hosting,</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(14) (15)</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Related Services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8.57 %</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SOFR+4.75 %</w:t>
            </w:r>
          </w:p>
        </w:tc>
        <w:tc>
          <w:tcPr>
            <w:tcW w:w="9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3/26/2021</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4/28/2028</w:t>
            </w:r>
          </w:p>
        </w:tc>
        <w:tc>
          <w:tcPr>
            <w:tcW w:w="9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924</w:t>
            </w:r>
          </w:p>
        </w:tc>
        <w:tc>
          <w:tcPr>
            <w:tcW w:w="7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924</w:t>
            </w:r>
          </w:p>
        </w:tc>
        <w:tc>
          <w:tcPr>
            <w:tcW w:w="6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762</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48"/>
        </w:trPr>
        <w:tc>
          <w:tcPr>
            <w:tcW w:w="23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8.57 %</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SOFR+4.75 %</w:t>
            </w:r>
          </w:p>
        </w:tc>
        <w:tc>
          <w:tcPr>
            <w:tcW w:w="940" w:type="dxa"/>
            <w:vAlign w:val="bottom"/>
            <w:tcBorders>
              <w:bottom w:val="single" w:sz="8" w:color="CCEEFF"/>
            </w:tcBorders>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3/26/2021</w:t>
            </w:r>
          </w:p>
        </w:tc>
        <w:tc>
          <w:tcPr>
            <w:tcW w:w="940" w:type="dxa"/>
            <w:vAlign w:val="bottom"/>
            <w:tcBorders>
              <w:bottom w:val="single" w:sz="8" w:color="CCEEFF"/>
            </w:tcBorders>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4/28/2028</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1,276</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1,276</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2,200</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2,200</w:t>
            </w:r>
          </w:p>
        </w:tc>
        <w:tc>
          <w:tcPr>
            <w:tcW w:w="620" w:type="dxa"/>
            <w:vAlign w:val="bottom"/>
            <w:gridSpan w:val="2"/>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1,15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Heritage Grocers Group, LLC. (F/K/A</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Supermarkets and Other</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auto"/>
              </w:rPr>
              <w:t>Tony's Fresh Market / Cardenas</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Grocery (except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Markets) (14) (15)</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Convenience) Stores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10.55 %</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SOFR+6.75 %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7/20/2022</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8/1/2029</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8,885</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8,751</w:t>
            </w:r>
          </w:p>
        </w:tc>
        <w:tc>
          <w:tcPr>
            <w:tcW w:w="62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6,87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Services for the Elderly</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Honor HN Buyer Inc.</w:t>
            </w: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and Persons with</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Disabilities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9.60 %</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SOFR+5.75 %</w:t>
            </w:r>
          </w:p>
        </w:tc>
        <w:tc>
          <w:tcPr>
            <w:tcW w:w="9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10/15/2021</w:t>
            </w:r>
          </w:p>
        </w:tc>
        <w:tc>
          <w:tcPr>
            <w:tcW w:w="9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10/15/2027</w:t>
            </w:r>
          </w:p>
        </w:tc>
        <w:tc>
          <w:tcPr>
            <w:tcW w:w="9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984</w:t>
            </w:r>
          </w:p>
        </w:tc>
        <w:tc>
          <w:tcPr>
            <w:tcW w:w="6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0.9 %</w:t>
            </w: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9.60 %</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SOFR+5.75 %</w:t>
            </w:r>
          </w:p>
        </w:tc>
        <w:tc>
          <w:tcPr>
            <w:tcW w:w="9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10/15/2021</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10/15/2027</w:t>
            </w:r>
          </w:p>
        </w:tc>
        <w:tc>
          <w:tcPr>
            <w:tcW w:w="9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7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611</w:t>
            </w:r>
          </w:p>
        </w:tc>
        <w:tc>
          <w:tcPr>
            <w:tcW w:w="6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9.60 %</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SOFR+5.75 %</w:t>
            </w:r>
          </w:p>
        </w:tc>
        <w:tc>
          <w:tcPr>
            <w:tcW w:w="9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3/31/2023</w:t>
            </w:r>
          </w:p>
        </w:tc>
        <w:tc>
          <w:tcPr>
            <w:tcW w:w="9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10/15/2027</w:t>
            </w:r>
          </w:p>
        </w:tc>
        <w:tc>
          <w:tcPr>
            <w:tcW w:w="9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696</w:t>
            </w: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6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696</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-3608070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-3608070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-3608070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-2939415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-2939415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-2939415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-1328420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-1328420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-1328420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Amortiz</w:t>
            </w:r>
          </w:p>
        </w:tc>
        <w:tc>
          <w:tcPr>
            <w:tcW w:w="100" w:type="dxa"/>
            <w:vAlign w:val="bottom"/>
          </w:tcPr>
          <w:p>
            <w:pPr>
              <w:spacing w:after="0"/>
              <w:rPr>
                <w:sz w:val="13"/>
                <w:szCs w:val="13"/>
                <w:color w:val="auto"/>
              </w:rPr>
            </w:pPr>
          </w:p>
        </w:tc>
        <w:tc>
          <w:tcPr>
            <w:tcW w:w="5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00" w:type="dxa"/>
            <w:vAlign w:val="bottom"/>
          </w:tcPr>
          <w:p>
            <w:pPr>
              <w:spacing w:after="0"/>
              <w:rPr>
                <w:sz w:val="12"/>
                <w:szCs w:val="12"/>
                <w:color w:val="auto"/>
              </w:rPr>
            </w:pPr>
          </w:p>
        </w:tc>
        <w:tc>
          <w:tcPr>
            <w:tcW w:w="5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9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6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5"/>
                <w:szCs w:val="15"/>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23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11.50 %</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Prime+4.75 %</w:t>
            </w:r>
          </w:p>
        </w:tc>
        <w:tc>
          <w:tcPr>
            <w:tcW w:w="1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10/15/2021</w:t>
            </w:r>
          </w:p>
        </w:tc>
        <w:tc>
          <w:tcPr>
            <w:tcW w:w="1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10/15/2027</w:t>
            </w:r>
          </w:p>
        </w:tc>
        <w:tc>
          <w:tcPr>
            <w:tcW w:w="120" w:type="dxa"/>
            <w:vAlign w:val="bottom"/>
          </w:tcPr>
          <w:p>
            <w:pPr>
              <w:spacing w:after="0"/>
              <w:rPr>
                <w:sz w:val="12"/>
                <w:szCs w:val="12"/>
                <w:color w:val="auto"/>
              </w:rPr>
            </w:pPr>
          </w:p>
        </w:tc>
        <w:tc>
          <w:tcPr>
            <w:tcW w:w="8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c>
          <w:tcPr>
            <w:tcW w:w="52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23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Debt (Delayed Draw) (5)</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SOFR+5.75 %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10/15/2024</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10/15/2027</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vMerge w:val="restart"/>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340" w:type="dxa"/>
            <w:vAlign w:val="bottom"/>
            <w:tcBorders>
              <w:bottom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vMerge w:val="continue"/>
            <w:shd w:val="clear" w:color="auto" w:fill="CCEEFF"/>
          </w:tcPr>
          <w:p>
            <w:pPr>
              <w:spacing w:after="0"/>
              <w:rPr>
                <w:sz w:val="13"/>
                <w:szCs w:val="13"/>
                <w:color w:val="auto"/>
              </w:rPr>
            </w:pPr>
          </w:p>
        </w:tc>
        <w:tc>
          <w:tcPr>
            <w:tcW w:w="940" w:type="dxa"/>
            <w:vAlign w:val="bottom"/>
            <w:tcBorders>
              <w:bottom w:val="single" w:sz="8" w:color="CCEEFF"/>
            </w:tcBorders>
            <w:gridSpan w:val="2"/>
            <w:vMerge w:val="continue"/>
            <w:shd w:val="clear" w:color="auto" w:fill="CCEEFF"/>
          </w:tcPr>
          <w:p>
            <w:pPr>
              <w:spacing w:after="0"/>
              <w:rPr>
                <w:sz w:val="13"/>
                <w:szCs w:val="13"/>
                <w:color w:val="auto"/>
              </w:rPr>
            </w:pPr>
          </w:p>
        </w:tc>
        <w:tc>
          <w:tcPr>
            <w:tcW w:w="94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2,326</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2,279</w:t>
            </w:r>
          </w:p>
        </w:tc>
        <w:tc>
          <w:tcPr>
            <w:tcW w:w="620" w:type="dxa"/>
            <w:vAlign w:val="bottom"/>
            <w:gridSpan w:val="2"/>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2,31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I Love Produce, LLC</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Spice and Extract</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9.81 %</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SOFR+6.00 %</w:t>
            </w:r>
          </w:p>
        </w:tc>
        <w:tc>
          <w:tcPr>
            <w:tcW w:w="9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3/24/2026</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3/24/2031</w:t>
            </w:r>
          </w:p>
        </w:tc>
        <w:tc>
          <w:tcPr>
            <w:tcW w:w="9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7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6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 (Delayed Draw) (5)</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n/m (18)</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SOFR+6.00 %</w:t>
            </w:r>
          </w:p>
        </w:tc>
        <w:tc>
          <w:tcPr>
            <w:tcW w:w="9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3/24/2026</w:t>
            </w:r>
          </w:p>
        </w:tc>
        <w:tc>
          <w:tcPr>
            <w:tcW w:w="9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3/24/2031</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11.75 %</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Prime+5.00 %</w:t>
            </w:r>
          </w:p>
        </w:tc>
        <w:tc>
          <w:tcPr>
            <w:tcW w:w="9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3/24/2026</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3/24/2031</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314</w:t>
            </w:r>
          </w:p>
        </w:tc>
        <w:tc>
          <w:tcPr>
            <w:tcW w:w="76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306</w:t>
            </w:r>
          </w:p>
        </w:tc>
        <w:tc>
          <w:tcPr>
            <w:tcW w:w="62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306</w:t>
            </w:r>
          </w:p>
        </w:tc>
        <w:tc>
          <w:tcPr>
            <w:tcW w:w="10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Computer and Computer</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Peripheral Equipment 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Idera Inc.</w:t>
            </w: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Software Merchant</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Wholesalers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10.56 %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SOFR+6.75 %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1/27/2022</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3/2/2029</w:t>
            </w: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2,683</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2,683</w:t>
            </w:r>
          </w:p>
        </w:tc>
        <w:tc>
          <w:tcPr>
            <w:tcW w:w="620" w:type="dxa"/>
            <w:vAlign w:val="bottom"/>
            <w:gridSpan w:val="2"/>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2,03</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Inergex Holdings, LLC (8) (20)</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Computer Related</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(11)</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cash /</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SOFR+7.00 %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10/1/2018</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10/1/2026</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14,574</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14,538</w:t>
            </w:r>
          </w:p>
        </w:tc>
        <w:tc>
          <w:tcPr>
            <w:tcW w:w="620" w:type="dxa"/>
            <w:vAlign w:val="bottom"/>
            <w:gridSpan w:val="2"/>
            <w:vMerge w:val="continue"/>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 PIK</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10.85%</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(Revolver) (11)</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cash /</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SOFR+7.00 %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10/1/2018</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10/1/2026</w:t>
            </w:r>
          </w:p>
        </w:tc>
        <w:tc>
          <w:tcPr>
            <w:tcW w:w="120" w:type="dxa"/>
            <w:vAlign w:val="bottom"/>
            <w:vMerge w:val="restart"/>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2,813</w:t>
            </w:r>
          </w:p>
        </w:tc>
        <w:tc>
          <w:tcPr>
            <w:tcW w:w="120" w:type="dxa"/>
            <w:vAlign w:val="bottom"/>
            <w:vMerge w:val="restart"/>
            <w:shd w:val="clear" w:color="auto" w:fill="CCEEFF"/>
          </w:tcPr>
          <w:p>
            <w:pPr>
              <w:spacing w:after="0"/>
              <w:rPr>
                <w:sz w:val="12"/>
                <w:szCs w:val="12"/>
                <w:color w:val="auto"/>
              </w:rPr>
            </w:pP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2,813</w:t>
            </w:r>
          </w:p>
        </w:tc>
        <w:tc>
          <w:tcPr>
            <w:tcW w:w="620" w:type="dxa"/>
            <w:vAlign w:val="bottom"/>
            <w:gridSpan w:val="2"/>
            <w:vMerge w:val="continue"/>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62"/>
        </w:trPr>
        <w:tc>
          <w:tcPr>
            <w:tcW w:w="23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 PIK</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940" w:type="dxa"/>
            <w:vAlign w:val="bottom"/>
            <w:tcBorders>
              <w:bottom w:val="single" w:sz="8" w:color="CCEEFF"/>
            </w:tcBorders>
            <w:gridSpan w:val="2"/>
            <w:vMerge w:val="continue"/>
            <w:shd w:val="clear" w:color="auto" w:fill="CCEEFF"/>
          </w:tcPr>
          <w:p>
            <w:pPr>
              <w:spacing w:after="0"/>
              <w:rPr>
                <w:sz w:val="14"/>
                <w:szCs w:val="14"/>
                <w:color w:val="auto"/>
              </w:rPr>
            </w:pPr>
          </w:p>
        </w:tc>
        <w:tc>
          <w:tcPr>
            <w:tcW w:w="94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17,387</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17,351</w:t>
            </w:r>
          </w:p>
        </w:tc>
        <w:tc>
          <w:tcPr>
            <w:tcW w:w="620" w:type="dxa"/>
            <w:vAlign w:val="bottom"/>
            <w:gridSpan w:val="2"/>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17,3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87</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Integrated Energy Services, LLC</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Computer Systems Design</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9.20 %</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SOFR+5.50 %</w:t>
            </w:r>
          </w:p>
        </w:tc>
        <w:tc>
          <w:tcPr>
            <w:tcW w:w="9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12/18/2025</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12/19/2030</w:t>
            </w:r>
          </w:p>
        </w:tc>
        <w:tc>
          <w:tcPr>
            <w:tcW w:w="9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524</w:t>
            </w:r>
          </w:p>
        </w:tc>
        <w:tc>
          <w:tcPr>
            <w:tcW w:w="7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6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 (Delayed Draw) (5)</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n/m (18)</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SOFR+5.50 %</w:t>
            </w:r>
          </w:p>
        </w:tc>
        <w:tc>
          <w:tcPr>
            <w:tcW w:w="9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12/18/2025</w:t>
            </w:r>
          </w:p>
        </w:tc>
        <w:tc>
          <w:tcPr>
            <w:tcW w:w="9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12/19/2030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n/m (18)</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SOFR+5.50 %</w:t>
            </w:r>
          </w:p>
        </w:tc>
        <w:tc>
          <w:tcPr>
            <w:tcW w:w="9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12/18/2025</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12/19/2030</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524</w:t>
            </w:r>
          </w:p>
        </w:tc>
        <w:tc>
          <w:tcPr>
            <w:tcW w:w="76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510</w:t>
            </w:r>
          </w:p>
        </w:tc>
        <w:tc>
          <w:tcPr>
            <w:tcW w:w="62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507</w:t>
            </w:r>
          </w:p>
        </w:tc>
        <w:tc>
          <w:tcPr>
            <w:tcW w:w="10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Drugs and Druggists'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JP Intermediate B, LLC</w:t>
            </w: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Sundries Merchant</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Wholesalers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10.70 %</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SOFR+7.00 %</w:t>
            </w:r>
          </w:p>
        </w:tc>
        <w:tc>
          <w:tcPr>
            <w:tcW w:w="9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10/2/2025</w:t>
            </w:r>
          </w:p>
        </w:tc>
        <w:tc>
          <w:tcPr>
            <w:tcW w:w="9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9/30/2030</w:t>
            </w:r>
          </w:p>
        </w:tc>
        <w:tc>
          <w:tcPr>
            <w:tcW w:w="9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6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(6) (11) (15)</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5.20% cash</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SOFR+5.50 %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1/14/2021</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3/31/2031</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1,499</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1,499</w:t>
            </w:r>
          </w:p>
        </w:tc>
        <w:tc>
          <w:tcPr>
            <w:tcW w:w="6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982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4.00% PIK</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Equity (12,663 Units) (10)</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9/30/2025</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2,992</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340" w:type="dxa"/>
            <w:vAlign w:val="bottom"/>
            <w:tcBorders>
              <w:bottom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1,833</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4,825</w:t>
            </w:r>
          </w:p>
        </w:tc>
        <w:tc>
          <w:tcPr>
            <w:tcW w:w="620" w:type="dxa"/>
            <w:vAlign w:val="bottom"/>
            <w:gridSpan w:val="2"/>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1,31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Kreg LLC (8)</w:t>
            </w: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Ambulatory Health</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Care Services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10.10%</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cash /</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SOFR+6.25 %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12/20/2021</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12/20/2026</w:t>
            </w: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17,071</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17,054</w:t>
            </w:r>
          </w:p>
        </w:tc>
        <w:tc>
          <w:tcPr>
            <w:tcW w:w="620" w:type="dxa"/>
            <w:vAlign w:val="bottom"/>
            <w:gridSpan w:val="2"/>
            <w:vMerge w:val="continue"/>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0.50% PIK</w:t>
            </w: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(Revolver)</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10.10 %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SOFR+6.25 %</w:t>
            </w:r>
          </w:p>
        </w:tc>
        <w:tc>
          <w:tcPr>
            <w:tcW w:w="9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12/20/2021</w:t>
            </w:r>
          </w:p>
        </w:tc>
        <w:tc>
          <w:tcPr>
            <w:tcW w:w="9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12/20/2026</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1,337</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19"/>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18,408</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18,390</w:t>
            </w:r>
          </w:p>
        </w:tc>
        <w:tc>
          <w:tcPr>
            <w:tcW w:w="620" w:type="dxa"/>
            <w:vAlign w:val="bottom"/>
            <w:gridSpan w:val="2"/>
            <w:shd w:val="clear" w:color="auto" w:fill="CCEEFF"/>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17,9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16.5 %</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-5031105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-5031105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-5031105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-2853690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-2853690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-2853690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-1336675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-1336675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-1336675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Amortiz</w:t>
            </w:r>
          </w:p>
        </w:tc>
        <w:tc>
          <w:tcPr>
            <w:tcW w:w="100" w:type="dxa"/>
            <w:vAlign w:val="bottom"/>
          </w:tcPr>
          <w:p>
            <w:pPr>
              <w:spacing w:after="0"/>
              <w:rPr>
                <w:sz w:val="13"/>
                <w:szCs w:val="13"/>
                <w:color w:val="auto"/>
              </w:rPr>
            </w:pPr>
          </w:p>
        </w:tc>
        <w:tc>
          <w:tcPr>
            <w:tcW w:w="5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00" w:type="dxa"/>
            <w:vAlign w:val="bottom"/>
          </w:tcPr>
          <w:p>
            <w:pPr>
              <w:spacing w:after="0"/>
              <w:rPr>
                <w:sz w:val="12"/>
                <w:szCs w:val="12"/>
                <w:color w:val="auto"/>
              </w:rPr>
            </w:pPr>
          </w:p>
        </w:tc>
        <w:tc>
          <w:tcPr>
            <w:tcW w:w="5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9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6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5"/>
                <w:szCs w:val="15"/>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19"/>
        </w:trPr>
        <w:tc>
          <w:tcPr>
            <w:tcW w:w="2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Plastics Packaging Film</w:t>
            </w: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M2S Group Intermediate Holdings Inc.</w:t>
            </w: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and Sheet (including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Laminated)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(14) (15)</w:t>
            </w:r>
          </w:p>
        </w:tc>
        <w:tc>
          <w:tcPr>
            <w:tcW w:w="12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8.42 %</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SOFR+4.75 %</w:t>
            </w:r>
          </w:p>
        </w:tc>
        <w:tc>
          <w:tcPr>
            <w:tcW w:w="9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10/28/2025</w:t>
            </w:r>
          </w:p>
        </w:tc>
        <w:tc>
          <w:tcPr>
            <w:tcW w:w="9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8/25/2031</w:t>
            </w:r>
          </w:p>
        </w:tc>
        <w:tc>
          <w:tcPr>
            <w:tcW w:w="9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455</w:t>
            </w:r>
          </w:p>
        </w:tc>
        <w:tc>
          <w:tcPr>
            <w:tcW w:w="6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Medrina LLC</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All Other Outpatient Care</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Centers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9.69 %</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SOFR+6.00 %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10/20/2023</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10/20/2029</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2,184</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2,151</w:t>
            </w:r>
          </w:p>
        </w:tc>
        <w:tc>
          <w:tcPr>
            <w:tcW w:w="62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2,18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9.63 %</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SOFR+6.00 %</w:t>
            </w:r>
          </w:p>
        </w:tc>
        <w:tc>
          <w:tcPr>
            <w:tcW w:w="9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10/20/2023</w:t>
            </w:r>
          </w:p>
        </w:tc>
        <w:tc>
          <w:tcPr>
            <w:tcW w:w="9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10/20/2029</w:t>
            </w:r>
          </w:p>
        </w:tc>
        <w:tc>
          <w:tcPr>
            <w:tcW w:w="9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6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n/m (18)</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SOFR+6.00 %</w:t>
            </w:r>
          </w:p>
        </w:tc>
        <w:tc>
          <w:tcPr>
            <w:tcW w:w="9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10/20/2023</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10/20/2029</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19"/>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2,551</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2,509</w:t>
            </w:r>
          </w:p>
        </w:tc>
        <w:tc>
          <w:tcPr>
            <w:tcW w:w="620" w:type="dxa"/>
            <w:vAlign w:val="bottom"/>
            <w:gridSpan w:val="2"/>
            <w:shd w:val="clear" w:color="auto" w:fill="CCEEFF"/>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2,55</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Metasource, LLC (15)</w:t>
            </w: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All Other Business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Support Services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10.21%</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cash /</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SOFR+6.25 %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5/17/2022</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5/17/2027</w:t>
            </w: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2,723</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2,704</w:t>
            </w:r>
          </w:p>
        </w:tc>
        <w:tc>
          <w:tcPr>
            <w:tcW w:w="620" w:type="dxa"/>
            <w:vAlign w:val="bottom"/>
            <w:gridSpan w:val="2"/>
            <w:vMerge w:val="continue"/>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0.50% PIK</w:t>
            </w: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One GI LLC</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Offices of Other Holding</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Companies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10.52 %</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SOFR+6.75 %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12/13/2021</w:t>
            </w:r>
          </w:p>
        </w:tc>
        <w:tc>
          <w:tcPr>
            <w:tcW w:w="9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rPr>
              <w:t>12/22/2025</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7,261</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7,261</w:t>
            </w:r>
          </w:p>
        </w:tc>
        <w:tc>
          <w:tcPr>
            <w:tcW w:w="62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6,32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(21)</w:t>
            </w: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10.52 %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SOFR+6.75 %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12/13/2021</w:t>
            </w:r>
          </w:p>
        </w:tc>
        <w:tc>
          <w:tcPr>
            <w:tcW w:w="94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12/22/2025</w:t>
            </w: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3,827</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3,827</w:t>
            </w:r>
          </w:p>
        </w:tc>
        <w:tc>
          <w:tcPr>
            <w:tcW w:w="620" w:type="dxa"/>
            <w:vAlign w:val="bottom"/>
            <w:gridSpan w:val="2"/>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3,33</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(21)</w:t>
            </w: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10.52 %</w:t>
            </w:r>
          </w:p>
        </w:tc>
        <w:tc>
          <w:tcPr>
            <w:tcW w:w="10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SOFR+6.75 %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12/13/2021</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12/22/2025</w:t>
            </w:r>
          </w:p>
        </w:tc>
        <w:tc>
          <w:tcPr>
            <w:tcW w:w="120" w:type="dxa"/>
            <w:vAlign w:val="bottom"/>
            <w:vMerge w:val="restart"/>
          </w:tcPr>
          <w:p>
            <w:pPr>
              <w:spacing w:after="0"/>
              <w:rPr>
                <w:sz w:val="11"/>
                <w:szCs w:val="11"/>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1,444</w:t>
            </w:r>
          </w:p>
        </w:tc>
        <w:tc>
          <w:tcPr>
            <w:tcW w:w="120" w:type="dxa"/>
            <w:vAlign w:val="bottom"/>
            <w:vMerge w:val="restart"/>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1,444</w:t>
            </w:r>
          </w:p>
        </w:tc>
        <w:tc>
          <w:tcPr>
            <w:tcW w:w="620" w:type="dxa"/>
            <w:vAlign w:val="bottom"/>
            <w:gridSpan w:val="2"/>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vMerge w:val="restart"/>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62"/>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12,532</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12,532</w:t>
            </w:r>
          </w:p>
        </w:tc>
        <w:tc>
          <w:tcPr>
            <w:tcW w:w="620" w:type="dxa"/>
            <w:vAlign w:val="bottom"/>
            <w:gridSpan w:val="2"/>
            <w:shd w:val="clear" w:color="auto" w:fill="CCEEFF"/>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10,9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4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Planet Bingo, LLC (F/K/A 3rd Rock</w:t>
            </w:r>
          </w:p>
        </w:tc>
        <w:tc>
          <w:tcPr>
            <w:tcW w:w="120" w:type="dxa"/>
            <w:vAlign w:val="bottom"/>
          </w:tcPr>
          <w:p>
            <w:pPr>
              <w:spacing w:after="0"/>
              <w:rPr>
                <w:sz w:val="10"/>
                <w:szCs w:val="10"/>
                <w:color w:val="auto"/>
              </w:rPr>
            </w:pPr>
          </w:p>
        </w:tc>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Software Publishers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Gaming Holdings, LLC) (6)</w:t>
            </w:r>
          </w:p>
        </w:tc>
        <w:tc>
          <w:tcPr>
            <w:tcW w:w="1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3/13/2018</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12/31/2027</w:t>
            </w: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16,648</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14,113</w:t>
            </w:r>
          </w:p>
        </w:tc>
        <w:tc>
          <w:tcPr>
            <w:tcW w:w="620" w:type="dxa"/>
            <w:vAlign w:val="bottom"/>
            <w:gridSpan w:val="2"/>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7,80</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PM Acquisition LLC</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All Other General</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Merchandise Stores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Common Equity (499 units)</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9/30/2017</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62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1,19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Lessors of Nonfinancial</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PSB Group, LLC (20)</w:t>
            </w: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(except</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Copyrighted Works)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10.42 %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SOFR+6.75 %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4/17/2025</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4/17/2030</w:t>
            </w: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7,862</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7,830</w:t>
            </w:r>
          </w:p>
        </w:tc>
        <w:tc>
          <w:tcPr>
            <w:tcW w:w="620" w:type="dxa"/>
            <w:vAlign w:val="bottom"/>
            <w:gridSpan w:val="2"/>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7,94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10.42 %</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SOFR+6.75 %</w:t>
            </w:r>
          </w:p>
        </w:tc>
        <w:tc>
          <w:tcPr>
            <w:tcW w:w="9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4/17/2025</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4/17/2030</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19"/>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8,268</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8,232</w:t>
            </w:r>
          </w:p>
        </w:tc>
        <w:tc>
          <w:tcPr>
            <w:tcW w:w="620" w:type="dxa"/>
            <w:vAlign w:val="bottom"/>
            <w:gridSpan w:val="2"/>
            <w:shd w:val="clear" w:color="auto" w:fill="CCEEFF"/>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8,34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Computer and Computer</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Redstone Holdco 2 LP (F/K/A RSA</w:t>
            </w: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Peripheral Equipment 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Software Merchant</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Security) (15)</w:t>
            </w:r>
          </w:p>
        </w:tc>
        <w:tc>
          <w:tcPr>
            <w:tcW w:w="12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Wholesalers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8.92 %</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SOFR+5.25 %</w:t>
            </w:r>
          </w:p>
        </w:tc>
        <w:tc>
          <w:tcPr>
            <w:tcW w:w="9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4/16/2021</w:t>
            </w:r>
          </w:p>
        </w:tc>
        <w:tc>
          <w:tcPr>
            <w:tcW w:w="9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12/31/2030</w:t>
            </w:r>
          </w:p>
        </w:tc>
        <w:tc>
          <w:tcPr>
            <w:tcW w:w="9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6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9.17 %</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SOFR+5.50 %</w:t>
            </w:r>
          </w:p>
        </w:tc>
        <w:tc>
          <w:tcPr>
            <w:tcW w:w="9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1/30/2026</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12/31/2030</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807</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19"/>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1,080</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1,066</w:t>
            </w:r>
          </w:p>
        </w:tc>
        <w:tc>
          <w:tcPr>
            <w:tcW w:w="620" w:type="dxa"/>
            <w:vAlign w:val="bottom"/>
            <w:gridSpan w:val="2"/>
            <w:shd w:val="clear" w:color="auto" w:fill="CCEEFF"/>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1,02</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Amortiz</w:t>
            </w:r>
          </w:p>
        </w:tc>
        <w:tc>
          <w:tcPr>
            <w:tcW w:w="100" w:type="dxa"/>
            <w:vAlign w:val="bottom"/>
          </w:tcPr>
          <w:p>
            <w:pPr>
              <w:spacing w:after="0"/>
              <w:rPr>
                <w:sz w:val="13"/>
                <w:szCs w:val="13"/>
                <w:color w:val="auto"/>
              </w:rPr>
            </w:pPr>
          </w:p>
        </w:tc>
        <w:tc>
          <w:tcPr>
            <w:tcW w:w="5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00" w:type="dxa"/>
            <w:vAlign w:val="bottom"/>
          </w:tcPr>
          <w:p>
            <w:pPr>
              <w:spacing w:after="0"/>
              <w:rPr>
                <w:sz w:val="12"/>
                <w:szCs w:val="12"/>
                <w:color w:val="auto"/>
              </w:rPr>
            </w:pPr>
          </w:p>
        </w:tc>
        <w:tc>
          <w:tcPr>
            <w:tcW w:w="5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9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6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5"/>
                <w:szCs w:val="15"/>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17"/>
        </w:trPr>
        <w:tc>
          <w:tcPr>
            <w:tcW w:w="234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i w:val="1"/>
                <w:iCs w:val="1"/>
                <w:color w:val="auto"/>
              </w:rPr>
              <w:t>RideNow Group, Inc. (F/K/A.</w:t>
            </w:r>
          </w:p>
        </w:tc>
        <w:tc>
          <w:tcPr>
            <w:tcW w:w="120" w:type="dxa"/>
            <w:vAlign w:val="bottom"/>
          </w:tcPr>
          <w:p>
            <w:pPr>
              <w:spacing w:after="0"/>
              <w:rPr>
                <w:sz w:val="10"/>
                <w:szCs w:val="10"/>
                <w:color w:val="auto"/>
              </w:rPr>
            </w:pPr>
          </w:p>
        </w:tc>
        <w:tc>
          <w:tcPr>
            <w:tcW w:w="15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Other Industrial</w:t>
            </w: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RumbleOn,</w:t>
            </w: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Inc.) (15) (16)</w:t>
            </w:r>
          </w:p>
        </w:tc>
        <w:tc>
          <w:tcPr>
            <w:tcW w:w="12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Machinery Manufacturing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(11)</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9.68% cash</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SOFR+6.75 %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8/31/2021</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9/30/2027</w:t>
            </w: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2,391</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2,371</w:t>
            </w:r>
          </w:p>
        </w:tc>
        <w:tc>
          <w:tcPr>
            <w:tcW w:w="620" w:type="dxa"/>
            <w:vAlign w:val="bottom"/>
            <w:gridSpan w:val="2"/>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2,33</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1.00% PIK</w:t>
            </w: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(11)</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9.68% cash</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SOFR+6.75 %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8/31/2021</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9/30/2027</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721</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716</w:t>
            </w:r>
          </w:p>
        </w:tc>
        <w:tc>
          <w:tcPr>
            <w:tcW w:w="6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704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1.00% PIK</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Warrants (warrants to purchase up to</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8/31/2021</w:t>
            </w:r>
          </w:p>
        </w:tc>
        <w:tc>
          <w:tcPr>
            <w:tcW w:w="940" w:type="dxa"/>
            <w:vAlign w:val="bottom"/>
            <w:gridSpan w:val="2"/>
            <w:shd w:val="clear" w:color="auto" w:fill="CCEEFF"/>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8/10/2030</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vMerge w:val="restart"/>
            <w:shd w:val="clear" w:color="auto" w:fill="CCEEFF"/>
          </w:tcPr>
          <w:p>
            <w:pPr>
              <w:spacing w:after="0"/>
              <w:rPr>
                <w:sz w:val="10"/>
                <w:szCs w:val="10"/>
                <w:color w:val="auto"/>
              </w:rPr>
            </w:pPr>
          </w:p>
        </w:tc>
        <w:tc>
          <w:tcPr>
            <w:tcW w:w="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vMerge w:val="restart"/>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58"/>
        </w:trPr>
        <w:tc>
          <w:tcPr>
            <w:tcW w:w="2340" w:type="dxa"/>
            <w:vAlign w:val="bottom"/>
            <w:tcBorders>
              <w:bottom w:val="single" w:sz="8" w:color="CCEEFF"/>
            </w:tcBorders>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$73,000 in common stock) (10)</w:t>
            </w:r>
          </w:p>
        </w:tc>
        <w:tc>
          <w:tcPr>
            <w:tcW w:w="1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vMerge w:val="continue"/>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center"/>
              <w:ind w:left="28"/>
              <w:spacing w:after="0" w:line="158"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3,112</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3,287</w:t>
            </w:r>
          </w:p>
        </w:tc>
        <w:tc>
          <w:tcPr>
            <w:tcW w:w="620" w:type="dxa"/>
            <w:vAlign w:val="bottom"/>
            <w:gridSpan w:val="2"/>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3,10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RPLF Holdings, LLC (10) (13)</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Software Publishers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Equity (345,339 Class A</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1/17/2018</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1,63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units)</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Sentry Centers Holdings, LLC (10) (13)</w:t>
            </w: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Convention and Trade</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Show Organizers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Equity (1,603 Series B units)</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9/4/2020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6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New Single-Family</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Signal Parent, Inc. (14) (15)</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Housing Construction</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(except For-Sale Builders)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7.27 %</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SOFR+3.50 %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3/25/2021</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4/3/2028</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1,514</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1,510</w:t>
            </w:r>
          </w:p>
        </w:tc>
        <w:tc>
          <w:tcPr>
            <w:tcW w:w="62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1,00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SS Acquisition, LLC (8) (20)</w:t>
            </w: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Sports and Recreation</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Instruction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9.45 %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SOFR+5.75 %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12/20/2024</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12/20/2029</w:t>
            </w: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16,752</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16,690</w:t>
            </w:r>
          </w:p>
        </w:tc>
        <w:tc>
          <w:tcPr>
            <w:tcW w:w="620" w:type="dxa"/>
            <w:vAlign w:val="bottom"/>
            <w:gridSpan w:val="2"/>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16,9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9.45 %</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SOFR+5.75 %</w:t>
            </w:r>
          </w:p>
        </w:tc>
        <w:tc>
          <w:tcPr>
            <w:tcW w:w="9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12/20/2024</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12/20/2029</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19"/>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17,252</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17,183</w:t>
            </w:r>
          </w:p>
        </w:tc>
        <w:tc>
          <w:tcPr>
            <w:tcW w:w="620" w:type="dxa"/>
            <w:vAlign w:val="bottom"/>
            <w:gridSpan w:val="2"/>
            <w:shd w:val="clear" w:color="auto" w:fill="CCEEFF"/>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17,4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Staples, Inc. (14) (15)</w:t>
            </w: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Business to Business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Electronic Markets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9.41 %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SOFR+5.75 %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5/23/2024</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9/4/2029</w:t>
            </w: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2,533</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2,466</w:t>
            </w:r>
          </w:p>
        </w:tc>
        <w:tc>
          <w:tcPr>
            <w:tcW w:w="620" w:type="dxa"/>
            <w:vAlign w:val="bottom"/>
            <w:gridSpan w:val="2"/>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2,30</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TalentSmart Holdings, LLC (10) (13)</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Professional and</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3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Management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(20)</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Development Training</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Equity (670 Class A</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10/11/2019</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670</w:t>
            </w:r>
          </w:p>
        </w:tc>
        <w:tc>
          <w:tcPr>
            <w:tcW w:w="6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71"/>
        </w:trPr>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Tolemar Acquisition, Inc.</w:t>
            </w: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Motorcycle, Bicycle, and</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Parts Manufacturing</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9.77% cash</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SOFR+6.00 %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10/14/2021</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10/14/2027</w:t>
            </w: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14,488</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14,438</w:t>
            </w:r>
          </w:p>
        </w:tc>
        <w:tc>
          <w:tcPr>
            <w:tcW w:w="620" w:type="dxa"/>
            <w:vAlign w:val="bottom"/>
            <w:gridSpan w:val="2"/>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9,47</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1.25% PIK</w:t>
            </w: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9.77 %</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SOFR+6.00 %</w:t>
            </w:r>
          </w:p>
        </w:tc>
        <w:tc>
          <w:tcPr>
            <w:tcW w:w="9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10/14/2021</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10/14/2027</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669</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19"/>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15,157</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15,104</w:t>
            </w:r>
          </w:p>
        </w:tc>
        <w:tc>
          <w:tcPr>
            <w:tcW w:w="620" w:type="dxa"/>
            <w:vAlign w:val="bottom"/>
            <w:gridSpan w:val="2"/>
            <w:shd w:val="clear" w:color="auto" w:fill="CCEEFF"/>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9,61</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4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United Biologics Holdings, LLC (10)</w:t>
            </w:r>
          </w:p>
        </w:tc>
        <w:tc>
          <w:tcPr>
            <w:tcW w:w="120" w:type="dxa"/>
            <w:vAlign w:val="bottom"/>
          </w:tcPr>
          <w:p>
            <w:pPr>
              <w:spacing w:after="0"/>
              <w:rPr>
                <w:sz w:val="10"/>
                <w:szCs w:val="10"/>
                <w:color w:val="auto"/>
              </w:rPr>
            </w:pPr>
          </w:p>
        </w:tc>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Medical Laboratories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(13)</w:t>
            </w:r>
          </w:p>
        </w:tc>
        <w:tc>
          <w:tcPr>
            <w:tcW w:w="1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Equity (4,701 units)</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4/16/2013</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-4371340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-4371340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-4371340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w:t>
            </w:r>
          </w:p>
        </w:tc>
        <w:tc>
          <w:tcPr>
            <w:tcW w:w="100" w:type="dxa"/>
            <w:vAlign w:val="bottom"/>
          </w:tcPr>
          <w:p>
            <w:pPr>
              <w:spacing w:after="0"/>
              <w:rPr>
                <w:sz w:val="13"/>
                <w:szCs w:val="13"/>
                <w:color w:val="auto"/>
              </w:rPr>
            </w:pP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ed</w:t>
            </w:r>
          </w:p>
        </w:tc>
        <w:tc>
          <w:tcPr>
            <w:tcW w:w="10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9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5"/>
                <w:szCs w:val="15"/>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17"/>
        </w:trPr>
        <w:tc>
          <w:tcPr>
            <w:tcW w:w="234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Total Debt and Equity Investments -</w:t>
            </w:r>
          </w:p>
        </w:tc>
        <w:tc>
          <w:tcPr>
            <w:tcW w:w="120" w:type="dxa"/>
            <w:vAlign w:val="bottom"/>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194,83</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34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Non- control/Non-affiliate</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189,728</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continue"/>
          </w:tcPr>
          <w:p>
            <w:pPr>
              <w:spacing w:after="0"/>
              <w:rPr>
                <w:sz w:val="12"/>
                <w:szCs w:val="12"/>
                <w:color w:val="auto"/>
              </w:rPr>
            </w:pP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continue"/>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144.0 %</w:t>
            </w:r>
          </w:p>
        </w:tc>
        <w:tc>
          <w:tcPr>
            <w:tcW w:w="0" w:type="dxa"/>
            <w:vAlign w:val="bottom"/>
          </w:tcPr>
          <w:p>
            <w:pPr>
              <w:spacing w:after="0"/>
              <w:rPr>
                <w:sz w:val="1"/>
                <w:szCs w:val="1"/>
                <w:color w:val="auto"/>
              </w:rPr>
            </w:pPr>
          </w:p>
        </w:tc>
      </w:tr>
      <w:tr>
        <w:trPr>
          <w:trHeight w:val="162"/>
        </w:trPr>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gridSpan w:val="2"/>
            <w:vMerge w:val="continue"/>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591</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Structured Finance Securities (16)</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Apex Credit CLO 2020 Ltd. (7) (9)</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6.25 %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11/16/2020</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4/20/2035</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11,080</w:t>
            </w:r>
          </w:p>
        </w:tc>
        <w:tc>
          <w:tcPr>
            <w:tcW w:w="2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9,045</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4,79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Apex Credit CLO 2021 Ltd. (7) (9)</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0.81 %</w:t>
            </w:r>
          </w:p>
        </w:tc>
        <w:tc>
          <w:tcPr>
            <w:tcW w:w="100" w:type="dxa"/>
            <w:vAlign w:val="bottom"/>
          </w:tcPr>
          <w:p>
            <w:pPr>
              <w:spacing w:after="0"/>
              <w:rPr>
                <w:sz w:val="10"/>
                <w:szCs w:val="10"/>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5/28/2021</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7/18/2034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8,630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5,246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2,10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Apex Credit CLO 2022-1 Ltd. (7) (9)</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17.49 %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4/28/2022</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10/22/2038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17,074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10,195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6,76</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Battalion CLO XI Ltd.</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Mezzanine Debt - Class E</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10.78 %</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SOFR+6.85 %</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4/25/2022</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4/24/2034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4,14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BlueMountain CLO XXXV Ltd. (7) (9)</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16.68 %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10/30/2024</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10/22/1937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5,961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3,68</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3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Brightwood Capital MM CLO 2023-1,</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Ltd.</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Subordinated Notes (7) (9)</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24.50 %</w:t>
            </w:r>
          </w:p>
        </w:tc>
        <w:tc>
          <w:tcPr>
            <w:tcW w:w="100" w:type="dxa"/>
            <w:vAlign w:val="bottom"/>
          </w:tcPr>
          <w:p>
            <w:pPr>
              <w:spacing w:after="0"/>
              <w:rPr>
                <w:sz w:val="10"/>
                <w:szCs w:val="10"/>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9/28/2023</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10/15/2035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5,494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4,64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Canyon CLO 2019-1, Ltd. (7) (9)</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17.18 %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8/22/2024</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7/15/2037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18,453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9,562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7,19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CBAMR 2017-1, Ltd. (7) (9)</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20.26 %</w:t>
            </w:r>
          </w:p>
        </w:tc>
        <w:tc>
          <w:tcPr>
            <w:tcW w:w="100" w:type="dxa"/>
            <w:vAlign w:val="bottom"/>
          </w:tcPr>
          <w:p>
            <w:pPr>
              <w:spacing w:after="0"/>
              <w:rPr>
                <w:sz w:val="10"/>
                <w:szCs w:val="10"/>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8/12/2025</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1/20/2038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5,100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1,918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1,42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ICG US CLO 2021-3, Ltd. (7) (9)</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22.54 %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8/8/2024</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10/20/2034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16,750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7,853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5,89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LCM 42 Ltd.(7) (9)</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Subordinated Notes</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17.60 %</w:t>
            </w:r>
          </w:p>
        </w:tc>
        <w:tc>
          <w:tcPr>
            <w:tcW w:w="100" w:type="dxa"/>
            <w:vAlign w:val="bottom"/>
          </w:tcPr>
          <w:p>
            <w:pPr>
              <w:spacing w:after="0"/>
              <w:rPr>
                <w:sz w:val="10"/>
                <w:szCs w:val="10"/>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12/19/2024</w:t>
            </w: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1/15/2038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2,41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34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Madison Park Funding XXIX, Ltd. (7)</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(9)</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15.10 %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12/22/2020</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3/25/2038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10,971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5,228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3,19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Trinitas CLO VIII, Ltd. (4) (7) (9) (10)</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0.00%</w:t>
            </w:r>
          </w:p>
        </w:tc>
        <w:tc>
          <w:tcPr>
            <w:tcW w:w="100" w:type="dxa"/>
            <w:vAlign w:val="bottom"/>
          </w:tcPr>
          <w:p>
            <w:pPr>
              <w:spacing w:after="0"/>
              <w:rPr>
                <w:sz w:val="12"/>
                <w:szCs w:val="12"/>
                <w:color w:val="auto"/>
              </w:rPr>
            </w:pPr>
          </w:p>
        </w:tc>
        <w:tc>
          <w:tcPr>
            <w:tcW w:w="9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3/4/2021</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7/20/2117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Venture 45 CLO, Limited</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Mezzanine Debt - Class E</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11.37 %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SOFR+7.70 %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4/18/2022</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7/20/2035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2,965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2,24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64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Amortiz</w:t>
            </w:r>
          </w:p>
        </w:tc>
        <w:tc>
          <w:tcPr>
            <w:tcW w:w="100" w:type="dxa"/>
            <w:vAlign w:val="bottom"/>
          </w:tcPr>
          <w:p>
            <w:pPr>
              <w:spacing w:after="0"/>
              <w:rPr>
                <w:sz w:val="13"/>
                <w:szCs w:val="13"/>
                <w:color w:val="auto"/>
              </w:rPr>
            </w:pPr>
          </w:p>
        </w:tc>
        <w:tc>
          <w:tcPr>
            <w:tcW w:w="5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1020" w:type="dxa"/>
            <w:vAlign w:val="bottom"/>
            <w:gridSpan w:val="3"/>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0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9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5"/>
                <w:szCs w:val="15"/>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1300" w:type="dxa"/>
            <w:vAlign w:val="bottom"/>
            <w:tcBorders>
              <w:top w:val="single" w:sz="8" w:color="auto"/>
              <w:bottom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48,6</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Structured Finance Securities</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119,052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73,793</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44.6 %</w:t>
            </w:r>
          </w:p>
        </w:tc>
        <w:tc>
          <w:tcPr>
            <w:tcW w:w="0" w:type="dxa"/>
            <w:vAlign w:val="bottom"/>
          </w:tcPr>
          <w:p>
            <w:pPr>
              <w:spacing w:after="0"/>
              <w:rPr>
                <w:sz w:val="1"/>
                <w:szCs w:val="1"/>
                <w:color w:val="auto"/>
              </w:rPr>
            </w:pPr>
          </w:p>
        </w:tc>
      </w:tr>
      <w:tr>
        <w:trPr>
          <w:trHeight w:val="142"/>
        </w:trPr>
        <w:tc>
          <w:tcPr>
            <w:tcW w:w="13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Total Non-control/Non-affiliate</w:t>
            </w: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308,780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268,62</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49"/>
              <w:spacing w:after="0" w:line="129" w:lineRule="exact"/>
              <w:rPr>
                <w:sz w:val="20"/>
                <w:szCs w:val="20"/>
                <w:color w:val="auto"/>
              </w:rPr>
            </w:pPr>
            <w:r>
              <w:rPr>
                <w:rFonts w:ascii="Times New Roman" w:cs="Times New Roman" w:eastAsia="Times New Roman" w:hAnsi="Times New Roman"/>
                <w:sz w:val="14"/>
                <w:szCs w:val="14"/>
                <w:color w:val="auto"/>
              </w:rPr>
              <w:t>206,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188.6 %</w:t>
            </w:r>
          </w:p>
        </w:tc>
        <w:tc>
          <w:tcPr>
            <w:tcW w:w="0" w:type="dxa"/>
            <w:vAlign w:val="bottom"/>
          </w:tcPr>
          <w:p>
            <w:pPr>
              <w:spacing w:after="0"/>
              <w:rPr>
                <w:sz w:val="1"/>
                <w:szCs w:val="1"/>
                <w:color w:val="auto"/>
              </w:rPr>
            </w:pPr>
          </w:p>
        </w:tc>
      </w:tr>
      <w:tr>
        <w:trPr>
          <w:trHeight w:val="162"/>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gridSpan w:val="2"/>
            <w:vMerge w:val="continue"/>
          </w:tcPr>
          <w:p>
            <w:pPr>
              <w:spacing w:after="0"/>
              <w:rPr>
                <w:sz w:val="14"/>
                <w:szCs w:val="14"/>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235</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Affiliate Investments</w:t>
            </w: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300" w:type="dxa"/>
            <w:vAlign w:val="bottom"/>
            <w:tcBorders>
              <w:top w:val="single" w:sz="8" w:color="auto"/>
            </w:tcBorders>
          </w:tcPr>
          <w:p>
            <w:pPr>
              <w:spacing w:after="0"/>
              <w:rPr>
                <w:sz w:val="10"/>
                <w:szCs w:val="10"/>
                <w:color w:val="auto"/>
              </w:rPr>
            </w:pPr>
          </w:p>
        </w:tc>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580" w:type="dxa"/>
            <w:vAlign w:val="bottom"/>
            <w:tcBorders>
              <w:top w:val="single" w:sz="8" w:color="CCEEFF"/>
            </w:tcBorders>
          </w:tcPr>
          <w:p>
            <w:pPr>
              <w:spacing w:after="0" w:line="119" w:lineRule="exact"/>
              <w:rPr>
                <w:sz w:val="20"/>
                <w:szCs w:val="20"/>
                <w:color w:val="auto"/>
              </w:rPr>
            </w:pPr>
            <w:r>
              <w:rPr>
                <w:rFonts w:ascii="Times New Roman" w:cs="Times New Roman" w:eastAsia="Times New Roman" w:hAnsi="Times New Roman"/>
                <w:sz w:val="13"/>
                <w:szCs w:val="13"/>
                <w:color w:val="auto"/>
              </w:rPr>
              <w:t>Office Machinery and</w:t>
            </w:r>
          </w:p>
        </w:tc>
        <w:tc>
          <w:tcPr>
            <w:tcW w:w="12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Contract Datascan Holdings, Inc. (19)</w:t>
            </w: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Equipment Rental 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Leasing</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Equity (2750 Series C</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8/21/2025</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2,986</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continue"/>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14% PIK</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Preferred Equity (3,061 Series A</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8/5/2015</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9,929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0" w:type="dxa"/>
            <w:vAlign w:val="bottom"/>
          </w:tcPr>
          <w:p>
            <w:pPr>
              <w:spacing w:after="0"/>
              <w:rPr>
                <w:sz w:val="1"/>
                <w:szCs w:val="1"/>
                <w:color w:val="auto"/>
              </w:rPr>
            </w:pPr>
          </w:p>
        </w:tc>
      </w:tr>
      <w:tr>
        <w:trPr>
          <w:trHeight w:val="171"/>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 PIK</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Equity (11,273 shares) (10)</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6/28/2016</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Warrants (warrants to purchase</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8/20/2035 (12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224 Series</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8/21/2025</w:t>
            </w: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 preferred equity shares) (10)</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Warrants (warrants to purchase 1,946</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8/21/2025</w:t>
            </w:r>
          </w:p>
        </w:tc>
        <w:tc>
          <w:tcPr>
            <w:tcW w:w="940" w:type="dxa"/>
            <w:vAlign w:val="bottom"/>
            <w:gridSpan w:val="2"/>
            <w:shd w:val="clear" w:color="auto" w:fill="CCEEFF"/>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8/20/2035 (12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340" w:type="dxa"/>
            <w:vAlign w:val="bottom"/>
            <w:tcBorders>
              <w:bottom w:val="single" w:sz="8" w:color="CCEEFF"/>
            </w:tcBorders>
            <w:gridSpan w:val="2"/>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shares of common equity) (10)</w:t>
            </w:r>
          </w:p>
        </w:tc>
        <w:tc>
          <w:tcPr>
            <w:tcW w:w="1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vMerge w:val="continue"/>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center"/>
              <w:ind w:left="28"/>
              <w:spacing w:after="0" w:line="158"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13,019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12,0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DRS Imaging Services, LLC (10)</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Data Processing, Hosting,</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(13) (20)</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Related Services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Equity (1,135 units)</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3/8/2018</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3,74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Pharmaceutical</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Pfanstiehl Holdings, Inc. (8) (20)</w:t>
            </w:r>
          </w:p>
        </w:tc>
        <w:tc>
          <w:tcPr>
            <w:tcW w:w="1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Preparation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(400 Class A shares)</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1/1/2014</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80,4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73.6 %</w:t>
            </w:r>
          </w:p>
        </w:tc>
        <w:tc>
          <w:tcPr>
            <w:tcW w:w="0" w:type="dxa"/>
            <w:vAlign w:val="bottom"/>
          </w:tcPr>
          <w:p>
            <w:pPr>
              <w:spacing w:after="0"/>
              <w:rPr>
                <w:sz w:val="1"/>
                <w:szCs w:val="1"/>
                <w:color w:val="auto"/>
              </w:rPr>
            </w:pPr>
          </w:p>
        </w:tc>
      </w:tr>
      <w:tr>
        <w:trPr>
          <w:trHeight w:val="171"/>
        </w:trPr>
        <w:tc>
          <w:tcPr>
            <w:tcW w:w="2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30</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SSJA Bariatric Management LLC (20)</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Offices of Physicians and</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Mental Health Specialists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 Lien Debt (5)</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9.07 %</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SOFR+5.25 %</w:t>
            </w:r>
          </w:p>
        </w:tc>
        <w:tc>
          <w:tcPr>
            <w:tcW w:w="9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10/31/2025</w:t>
            </w: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10/31/2028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26"/>
        </w:trPr>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9.07% PIK</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SOFR+5.25 %</w:t>
            </w:r>
          </w:p>
        </w:tc>
        <w:tc>
          <w:tcPr>
            <w:tcW w:w="94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12/31/2020</w:t>
            </w:r>
          </w:p>
        </w:tc>
        <w:tc>
          <w:tcPr>
            <w:tcW w:w="94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10/31/2028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3,893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3,893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9"/>
              <w:spacing w:after="0" w:line="126" w:lineRule="exact"/>
              <w:rPr>
                <w:sz w:val="20"/>
                <w:szCs w:val="20"/>
                <w:color w:val="auto"/>
              </w:rPr>
            </w:pPr>
            <w:r>
              <w:rPr>
                <w:rFonts w:ascii="Times New Roman" w:cs="Times New Roman" w:eastAsia="Times New Roman" w:hAnsi="Times New Roman"/>
                <w:sz w:val="14"/>
                <w:szCs w:val="14"/>
                <w:color w:val="auto"/>
              </w:rPr>
              <w:t>3,89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171"/>
        </w:trPr>
        <w:tc>
          <w:tcPr>
            <w:tcW w:w="2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Common Equity (52,763 Class A units)</w:t>
            </w: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10/31/2025</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9,657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vMerge w:val="restart"/>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(13) (15)</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4,127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13,784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5,68</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0" w:type="dxa"/>
            <w:vAlign w:val="bottom"/>
          </w:tcPr>
          <w:p>
            <w:pPr>
              <w:spacing w:after="0"/>
              <w:rPr>
                <w:sz w:val="1"/>
                <w:szCs w:val="1"/>
                <w:color w:val="auto"/>
              </w:rPr>
            </w:pPr>
          </w:p>
        </w:tc>
      </w:tr>
      <w:tr>
        <w:trPr>
          <w:trHeight w:val="171"/>
        </w:trPr>
        <w:tc>
          <w:tcPr>
            <w:tcW w:w="1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28,154</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885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93.2 %</w:t>
            </w:r>
          </w:p>
        </w:tc>
        <w:tc>
          <w:tcPr>
            <w:tcW w:w="0" w:type="dxa"/>
            <w:vAlign w:val="bottom"/>
          </w:tcPr>
          <w:p>
            <w:pPr>
              <w:spacing w:after="0"/>
              <w:rPr>
                <w:sz w:val="1"/>
                <w:szCs w:val="1"/>
                <w:color w:val="auto"/>
              </w:rPr>
            </w:pPr>
          </w:p>
        </w:tc>
      </w:tr>
      <w:tr>
        <w:trPr>
          <w:trHeight w:val="142"/>
        </w:trPr>
        <w:tc>
          <w:tcPr>
            <w:tcW w:w="1300" w:type="dxa"/>
            <w:vAlign w:val="bottom"/>
            <w:tcBorders>
              <w:top w:val="single" w:sz="8" w:color="CCEEFF"/>
            </w:tcBorders>
          </w:tcPr>
          <w:p>
            <w:pPr>
              <w:spacing w:after="0"/>
              <w:rPr>
                <w:sz w:val="12"/>
                <w:szCs w:val="12"/>
                <w:color w:val="auto"/>
              </w:rPr>
            </w:pPr>
          </w:p>
        </w:tc>
        <w:tc>
          <w:tcPr>
            <w:tcW w:w="10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5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296,78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308,</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3"/>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48"/>
              <w:spacing w:after="0" w:line="151" w:lineRule="exact"/>
              <w:rPr>
                <w:sz w:val="20"/>
                <w:szCs w:val="20"/>
                <w:color w:val="auto"/>
              </w:rPr>
            </w:pPr>
            <w:r>
              <w:rPr>
                <w:rFonts w:ascii="Times New Roman" w:cs="Times New Roman" w:eastAsia="Times New Roman" w:hAnsi="Times New Roman"/>
                <w:sz w:val="14"/>
                <w:szCs w:val="14"/>
                <w:color w:val="auto"/>
              </w:rPr>
              <w:t>312,907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ind w:right="48"/>
              <w:spacing w:after="0" w:line="151"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ind w:right="49"/>
              <w:spacing w:after="0" w:line="151" w:lineRule="exact"/>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281.8 %</w:t>
            </w: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Equivalents (17)</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3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First American Treasury Obligations</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3.56 %</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567</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73"/>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Fund Class Z</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20" w:type="dxa"/>
            <w:vAlign w:val="bottom"/>
            <w:gridSpan w:val="4"/>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-5459730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-5459730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-5459730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-5160010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-5160010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-5160010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-3265170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-3265170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-796290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-796290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-496570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-479425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-496570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-479425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-496570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-479425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640" w:type="dxa"/>
            <w:vAlign w:val="bottom"/>
            <w:gridSpan w:val="2"/>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Amortiz</w:t>
            </w:r>
          </w:p>
        </w:tc>
        <w:tc>
          <w:tcPr>
            <w:tcW w:w="100" w:type="dxa"/>
            <w:vAlign w:val="bottom"/>
          </w:tcPr>
          <w:p>
            <w:pPr>
              <w:spacing w:after="0"/>
              <w:rPr>
                <w:sz w:val="13"/>
                <w:szCs w:val="13"/>
                <w:color w:val="auto"/>
              </w:rPr>
            </w:pP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 Index</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1020" w:type="dxa"/>
            <w:vAlign w:val="bottom"/>
            <w:gridSpan w:val="3"/>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49"/>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0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9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5"/>
                <w:szCs w:val="15"/>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17"/>
        </w:trPr>
        <w:tc>
          <w:tcPr>
            <w:tcW w:w="234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i w:val="1"/>
                <w:iCs w:val="1"/>
                <w:color w:val="auto"/>
              </w:rPr>
              <w:t>Morgan Stanley Institutional Liquidity</w:t>
            </w:r>
          </w:p>
        </w:tc>
        <w:tc>
          <w:tcPr>
            <w:tcW w:w="120" w:type="dxa"/>
            <w:vAlign w:val="bottom"/>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Funds - Government Portfolio Advisory</w:t>
            </w: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3.32 %</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714</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7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Class</w:t>
            </w: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1,28</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Cash Equivalents</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1,281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5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 and Cash</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314,189</w:t>
            </w:r>
          </w:p>
        </w:tc>
        <w:tc>
          <w:tcPr>
            <w:tcW w:w="12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298,06</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50"/>
              <w:spacing w:after="0" w:line="155" w:lineRule="exact"/>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283.0 %</w:t>
            </w:r>
          </w:p>
        </w:tc>
        <w:tc>
          <w:tcPr>
            <w:tcW w:w="0" w:type="dxa"/>
            <w:vAlign w:val="bottom"/>
          </w:tcPr>
          <w:p>
            <w:pPr>
              <w:spacing w:after="0"/>
              <w:rPr>
                <w:sz w:val="1"/>
                <w:szCs w:val="1"/>
                <w:color w:val="auto"/>
              </w:rPr>
            </w:pPr>
          </w:p>
        </w:tc>
      </w:tr>
      <w:tr>
        <w:trPr>
          <w:trHeight w:val="175"/>
        </w:trPr>
        <w:tc>
          <w:tcPr>
            <w:tcW w:w="23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3"/>
            <w:shd w:val="clear" w:color="auto" w:fill="CCEEFF"/>
          </w:tcPr>
          <w:p>
            <w:pPr>
              <w:spacing w:after="0"/>
              <w:rPr>
                <w:sz w:val="15"/>
                <w:szCs w:val="15"/>
                <w:color w:val="auto"/>
              </w:rPr>
            </w:pPr>
          </w:p>
        </w:tc>
        <w:tc>
          <w:tcPr>
            <w:tcW w:w="6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vMerge w:val="continue"/>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9"/>
              <w:spacing w:after="0" w:line="115"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50"/>
              <w:spacing w:after="0" w:line="115" w:lineRule="exact"/>
              <w:rPr>
                <w:sz w:val="20"/>
                <w:szCs w:val="20"/>
                <w:color w:val="auto"/>
              </w:rPr>
            </w:pPr>
            <w:r>
              <w:rPr>
                <w:rFonts w:ascii="Times New Roman" w:cs="Times New Roman" w:eastAsia="Times New Roman" w:hAnsi="Times New Roman"/>
                <w:sz w:val="13"/>
                <w:szCs w:val="13"/>
                <w:color w:val="auto"/>
              </w:rPr>
              <w:t>401</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-325120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-325120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-325120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380" w:right="140" w:hanging="372"/>
        <w:spacing w:after="0" w:line="233"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ownership may be held in shares or units of companies affiliated with the portfolio company. The Company’s investments are generally classified as “restricted securities” as such term is defined under Regulation S-X Rule 6-03(f) or Securities Act Rule 144.</w:t>
      </w:r>
    </w:p>
    <w:p>
      <w:pPr>
        <w:ind w:left="380" w:right="60" w:hanging="372"/>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the Company held loans and mezzanine debt investments with an aggregate fair value of $153,365 of the total loan portfolio, that bore interest at a variable rate indexed to SOFR or Prime, and reset monthly, quarterly, or semi-annually. For each variable-rate investment, the Company has provided the spread over the reference rate and current interest rate in effect as of March 31, 2026. Unless otherwise noted, all investments with a stated PIK rate require interest payments with the issuance of additional securities as payment of the entire PIK provision.</w:t>
      </w:r>
    </w:p>
    <w:p>
      <w:pPr>
        <w:spacing w:after="0" w:line="1" w:lineRule="exact"/>
        <w:rPr>
          <w:rFonts w:ascii="Times New Roman" w:cs="Times New Roman" w:eastAsia="Times New Roman" w:hAnsi="Times New Roman"/>
          <w:sz w:val="14"/>
          <w:szCs w:val="14"/>
          <w:color w:val="auto"/>
        </w:rPr>
      </w:pPr>
    </w:p>
    <w:p>
      <w:pPr>
        <w:ind w:left="380" w:right="100" w:hanging="372"/>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otherwise noted in footnote 14, fair value was determined using significant unobservable inputs for all of the Company’s investments and are considered Level 3 under GAAP. See </w:t>
      </w:r>
      <w:r>
        <w:rPr>
          <w:rFonts w:ascii="Times New Roman" w:cs="Times New Roman" w:eastAsia="Times New Roman" w:hAnsi="Times New Roman"/>
          <w:sz w:val="14"/>
          <w:szCs w:val="14"/>
          <w:b w:val="1"/>
          <w:bCs w:val="1"/>
          <w:color w:val="auto"/>
        </w:rPr>
        <w:t xml:space="preserve">Note 5 </w:t>
      </w:r>
      <w:r>
        <w:rPr>
          <w:rFonts w:ascii="Times New Roman" w:cs="Times New Roman" w:eastAsia="Times New Roman" w:hAnsi="Times New Roman"/>
          <w:sz w:val="14"/>
          <w:szCs w:val="14"/>
          <w:color w:val="auto"/>
        </w:rPr>
        <w:t>for further details.</w:t>
      </w:r>
    </w:p>
    <w:p>
      <w:pPr>
        <w:ind w:left="380" w:right="80" w:hanging="372"/>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the effective accretable yield was estimated to be 0%, as the aggregate amount of projected distributions, including projected distributions related to liquidation of the underlying portfolio upon the security’s anticipated optional redemption, was less than current amortized cost. Projected distributions are periodically monitored and re-evaluated. All actual distributions were recognized as reductions to amortized cost until such time, if and when occurring, a future aggregate amount of then-projected distributions exceeds the security’s then-current amortized cost.</w:t>
      </w:r>
    </w:p>
    <w:p>
      <w:pPr>
        <w:spacing w:after="0" w:line="1"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unfunded commitments. The Company considers undrawn amounts in the determination of fair value on revolving lines of credit and delayed draw term loans. See </w:t>
      </w:r>
      <w:r>
        <w:rPr>
          <w:rFonts w:ascii="Times New Roman" w:cs="Times New Roman" w:eastAsia="Times New Roman" w:hAnsi="Times New Roman"/>
          <w:sz w:val="14"/>
          <w:szCs w:val="14"/>
          <w:b w:val="1"/>
          <w:bCs w:val="1"/>
          <w:color w:val="auto"/>
        </w:rPr>
        <w:t>Note 6</w:t>
      </w:r>
      <w:r>
        <w:rPr>
          <w:rFonts w:ascii="Times New Roman" w:cs="Times New Roman" w:eastAsia="Times New Roman" w:hAnsi="Times New Roman"/>
          <w:sz w:val="14"/>
          <w:szCs w:val="14"/>
          <w:color w:val="auto"/>
        </w:rPr>
        <w:t>.</w:t>
      </w:r>
    </w:p>
    <w:p>
      <w:pPr>
        <w:ind w:left="380" w:hanging="372"/>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 was on non-accrual status as of March 31, 2026. See </w:t>
      </w:r>
      <w:r>
        <w:rPr>
          <w:rFonts w:ascii="Times New Roman" w:cs="Times New Roman" w:eastAsia="Times New Roman" w:hAnsi="Times New Roman"/>
          <w:sz w:val="14"/>
          <w:szCs w:val="14"/>
          <w:b w:val="1"/>
          <w:bCs w:val="1"/>
          <w:color w:val="auto"/>
        </w:rPr>
        <w:t>Note 4</w:t>
      </w:r>
      <w:r>
        <w:rPr>
          <w:rFonts w:ascii="Times New Roman" w:cs="Times New Roman" w:eastAsia="Times New Roman" w:hAnsi="Times New Roman"/>
          <w:sz w:val="14"/>
          <w:szCs w:val="14"/>
          <w:color w:val="auto"/>
        </w:rPr>
        <w:t xml:space="preserve"> for further details.</w:t>
      </w:r>
    </w:p>
    <w:p>
      <w:pPr>
        <w:ind w:left="380" w:right="100" w:hanging="372"/>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Amortized cost reflects accretion of effective yield less any cash distributions received or entitled to be received from CLO subordinated note investments. CLO subordinated note positions are entitled to recurring distributions, which are generally equal to the residual cash flow of payments received on underlying securities less contractual payments to debt holders and fund expenses.</w:t>
      </w:r>
    </w:p>
    <w:p>
      <w:pPr>
        <w:ind w:left="380" w:hanging="372"/>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represents greater than 5% of total assets as of March 31, 2026.</w:t>
      </w:r>
    </w:p>
    <w:p>
      <w:pPr>
        <w:ind w:left="380" w:right="160" w:hanging="372"/>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disclosed on subordinated note investments is the estimated effective yield, generally established at purchase, and reevaluated upon the receipt of the initial distribution and each subsequent quarter thereafter. The estimated effective yield is based upon projected amounts and timing of future distributions and the projected amounts and timing of terminal principal payments at the time of estimation. The estimated effective yield and investment cost may ultimately not be realized. Projected cash flows, including the amounts and timing of terminal principal payments, which generally are projected to occur prior to the contractual maturity date, were utilized in deriving the effective yield of the investments.</w:t>
      </w:r>
    </w:p>
    <w:p>
      <w:pPr>
        <w:spacing w:after="0" w:line="1"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Non-income producing. The Company has not recognized income on the security during the prior twelve-month period preceding the period-end date.</w:t>
      </w:r>
    </w:p>
    <w:p>
      <w:pPr>
        <w:ind w:left="380" w:right="40" w:hanging="372"/>
        <w:spacing w:after="0" w:line="233"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on these investments contains a PIK provision, whereby the issuer has the option to make interest payments in cash or with the issuance of additional securities as payment of the entire PIK provision. The interest rate in the schedule represents the current interest rate in effect for these investments. The following table provides additional details on these PIK investments, including the maximum annual PIK interest rate allowed as of March 31, 2026:</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3"/>
                <w:szCs w:val="13"/>
                <w:color w:val="auto"/>
              </w:rPr>
            </w:pPr>
          </w:p>
        </w:tc>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PIK</w:t>
            </w: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PIK</w:t>
            </w:r>
          </w:p>
        </w:tc>
        <w:tc>
          <w:tcPr>
            <w:tcW w:w="1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Cash</w:t>
            </w:r>
          </w:p>
        </w:tc>
        <w:tc>
          <w:tcPr>
            <w:tcW w:w="0" w:type="dxa"/>
            <w:vAlign w:val="bottom"/>
          </w:tcPr>
          <w:p>
            <w:pPr>
              <w:spacing w:after="0"/>
              <w:rPr>
                <w:sz w:val="1"/>
                <w:szCs w:val="1"/>
                <w:color w:val="auto"/>
              </w:rPr>
            </w:pPr>
          </w:p>
        </w:tc>
      </w:tr>
      <w:tr>
        <w:trPr>
          <w:trHeight w:val="173"/>
        </w:trPr>
        <w:tc>
          <w:tcPr>
            <w:tcW w:w="43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Allowed</w:t>
            </w:r>
          </w:p>
        </w:tc>
        <w:tc>
          <w:tcPr>
            <w:tcW w:w="10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2"/>
        </w:trPr>
        <w:tc>
          <w:tcPr>
            <w:tcW w:w="4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Avison Young Inc.</w:t>
            </w:r>
          </w:p>
        </w:tc>
        <w:tc>
          <w:tcPr>
            <w:tcW w:w="1880" w:type="dxa"/>
            <w:vAlign w:val="bottom"/>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shd w:val="clear" w:color="auto" w:fill="CFF0FC"/>
          </w:tcPr>
          <w:p>
            <w:pPr>
              <w:jc w:val="center"/>
              <w:ind w:left="28"/>
              <w:spacing w:after="0" w:line="142" w:lineRule="exact"/>
              <w:rPr>
                <w:sz w:val="20"/>
                <w:szCs w:val="20"/>
                <w:color w:val="auto"/>
              </w:rPr>
            </w:pPr>
            <w:r>
              <w:rPr>
                <w:rFonts w:ascii="Times New Roman" w:cs="Times New Roman" w:eastAsia="Times New Roman" w:hAnsi="Times New Roman"/>
                <w:sz w:val="14"/>
                <w:szCs w:val="14"/>
                <w:color w:val="auto"/>
              </w:rPr>
              <w:t>6.50 %</w:t>
            </w:r>
          </w:p>
        </w:tc>
        <w:tc>
          <w:tcPr>
            <w:tcW w:w="100" w:type="dxa"/>
            <w:vAlign w:val="bottom"/>
            <w:shd w:val="clear" w:color="auto" w:fill="CFF0FC"/>
          </w:tcPr>
          <w:p>
            <w:pPr>
              <w:spacing w:after="0"/>
              <w:rPr>
                <w:sz w:val="12"/>
                <w:szCs w:val="12"/>
                <w:color w:val="auto"/>
              </w:rPr>
            </w:pPr>
          </w:p>
        </w:tc>
        <w:tc>
          <w:tcPr>
            <w:tcW w:w="176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0% to 6.50%</w:t>
            </w:r>
          </w:p>
        </w:tc>
        <w:tc>
          <w:tcPr>
            <w:tcW w:w="120" w:type="dxa"/>
            <w:vAlign w:val="bottom"/>
            <w:shd w:val="clear" w:color="auto" w:fill="CFF0FC"/>
          </w:tcPr>
          <w:p>
            <w:pPr>
              <w:spacing w:after="0"/>
              <w:rPr>
                <w:sz w:val="12"/>
                <w:szCs w:val="12"/>
                <w:color w:val="auto"/>
              </w:rPr>
            </w:pPr>
          </w:p>
        </w:tc>
        <w:tc>
          <w:tcPr>
            <w:tcW w:w="176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5.81% to 12.31%</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Avison Young Inc.</w:t>
            </w:r>
          </w:p>
        </w:tc>
        <w:tc>
          <w:tcPr>
            <w:tcW w:w="1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6.50 %</w:t>
            </w: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6.50%</w:t>
            </w: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4.66% to 11.16%</w:t>
            </w:r>
          </w:p>
        </w:tc>
        <w:tc>
          <w:tcPr>
            <w:tcW w:w="0" w:type="dxa"/>
            <w:vAlign w:val="bottom"/>
          </w:tcPr>
          <w:p>
            <w:pPr>
              <w:spacing w:after="0"/>
              <w:rPr>
                <w:sz w:val="1"/>
                <w:szCs w:val="1"/>
                <w:color w:val="auto"/>
              </w:rPr>
            </w:pPr>
          </w:p>
        </w:tc>
      </w:tr>
      <w:tr>
        <w:trPr>
          <w:trHeight w:val="148"/>
        </w:trPr>
        <w:tc>
          <w:tcPr>
            <w:tcW w:w="4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Avison Young Inc.</w:t>
            </w:r>
          </w:p>
        </w:tc>
        <w:tc>
          <w:tcPr>
            <w:tcW w:w="188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6.50 %</w:t>
            </w:r>
          </w:p>
        </w:tc>
        <w:tc>
          <w:tcPr>
            <w:tcW w:w="100" w:type="dxa"/>
            <w:vAlign w:val="bottom"/>
            <w:shd w:val="clear" w:color="auto" w:fill="CFF0FC"/>
          </w:tcPr>
          <w:p>
            <w:pPr>
              <w:spacing w:after="0"/>
              <w:rPr>
                <w:sz w:val="12"/>
                <w:szCs w:val="12"/>
                <w:color w:val="auto"/>
              </w:rPr>
            </w:pPr>
          </w:p>
        </w:tc>
        <w:tc>
          <w:tcPr>
            <w:tcW w:w="1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6.50%</w:t>
            </w:r>
          </w:p>
        </w:tc>
        <w:tc>
          <w:tcPr>
            <w:tcW w:w="120" w:type="dxa"/>
            <w:vAlign w:val="bottom"/>
            <w:shd w:val="clear" w:color="auto" w:fill="CFF0FC"/>
          </w:tcPr>
          <w:p>
            <w:pPr>
              <w:spacing w:after="0"/>
              <w:rPr>
                <w:sz w:val="12"/>
                <w:szCs w:val="12"/>
                <w:color w:val="auto"/>
              </w:rPr>
            </w:pPr>
          </w:p>
        </w:tc>
        <w:tc>
          <w:tcPr>
            <w:tcW w:w="1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4.94% to 11.44%</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Avison Young Inc.</w:t>
            </w:r>
          </w:p>
        </w:tc>
        <w:tc>
          <w:tcPr>
            <w:tcW w:w="1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6.50 %</w:t>
            </w: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6.50%</w:t>
            </w: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4.90% to 11.40%</w:t>
            </w:r>
          </w:p>
        </w:tc>
        <w:tc>
          <w:tcPr>
            <w:tcW w:w="0" w:type="dxa"/>
            <w:vAlign w:val="bottom"/>
          </w:tcPr>
          <w:p>
            <w:pPr>
              <w:spacing w:after="0"/>
              <w:rPr>
                <w:sz w:val="1"/>
                <w:szCs w:val="1"/>
                <w:color w:val="auto"/>
              </w:rPr>
            </w:pPr>
          </w:p>
        </w:tc>
      </w:tr>
      <w:tr>
        <w:trPr>
          <w:trHeight w:val="149"/>
        </w:trPr>
        <w:tc>
          <w:tcPr>
            <w:tcW w:w="4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Avison Young Inc.</w:t>
            </w:r>
          </w:p>
        </w:tc>
        <w:tc>
          <w:tcPr>
            <w:tcW w:w="188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6.50 %</w:t>
            </w:r>
          </w:p>
        </w:tc>
        <w:tc>
          <w:tcPr>
            <w:tcW w:w="100" w:type="dxa"/>
            <w:vAlign w:val="bottom"/>
            <w:shd w:val="clear" w:color="auto" w:fill="CFF0FC"/>
          </w:tcPr>
          <w:p>
            <w:pPr>
              <w:spacing w:after="0"/>
              <w:rPr>
                <w:sz w:val="12"/>
                <w:szCs w:val="12"/>
                <w:color w:val="auto"/>
              </w:rPr>
            </w:pPr>
          </w:p>
        </w:tc>
        <w:tc>
          <w:tcPr>
            <w:tcW w:w="1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6.50%</w:t>
            </w:r>
          </w:p>
        </w:tc>
        <w:tc>
          <w:tcPr>
            <w:tcW w:w="120" w:type="dxa"/>
            <w:vAlign w:val="bottom"/>
            <w:shd w:val="clear" w:color="auto" w:fill="CFF0FC"/>
          </w:tcPr>
          <w:p>
            <w:pPr>
              <w:spacing w:after="0"/>
              <w:rPr>
                <w:sz w:val="12"/>
                <w:szCs w:val="12"/>
                <w:color w:val="auto"/>
              </w:rPr>
            </w:pPr>
          </w:p>
        </w:tc>
        <w:tc>
          <w:tcPr>
            <w:tcW w:w="1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5.81% to 12.31%</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Inergex Holdings, LLC</w:t>
            </w:r>
          </w:p>
        </w:tc>
        <w:tc>
          <w:tcPr>
            <w:tcW w:w="1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2.00 %</w:t>
            </w: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2.00%</w:t>
            </w: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10.85% to 12.85%</w:t>
            </w:r>
          </w:p>
        </w:tc>
        <w:tc>
          <w:tcPr>
            <w:tcW w:w="0" w:type="dxa"/>
            <w:vAlign w:val="bottom"/>
          </w:tcPr>
          <w:p>
            <w:pPr>
              <w:spacing w:after="0"/>
              <w:rPr>
                <w:sz w:val="1"/>
                <w:szCs w:val="1"/>
                <w:color w:val="auto"/>
              </w:rPr>
            </w:pPr>
          </w:p>
        </w:tc>
      </w:tr>
      <w:tr>
        <w:trPr>
          <w:trHeight w:val="148"/>
        </w:trPr>
        <w:tc>
          <w:tcPr>
            <w:tcW w:w="4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Inergex Holdings, LLC</w:t>
            </w:r>
          </w:p>
        </w:tc>
        <w:tc>
          <w:tcPr>
            <w:tcW w:w="188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 (Revolver)</w:t>
            </w:r>
          </w:p>
        </w:tc>
        <w:tc>
          <w:tcPr>
            <w:tcW w:w="126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2.00 %</w:t>
            </w:r>
          </w:p>
        </w:tc>
        <w:tc>
          <w:tcPr>
            <w:tcW w:w="100" w:type="dxa"/>
            <w:vAlign w:val="bottom"/>
            <w:shd w:val="clear" w:color="auto" w:fill="CFF0FC"/>
          </w:tcPr>
          <w:p>
            <w:pPr>
              <w:spacing w:after="0"/>
              <w:rPr>
                <w:sz w:val="12"/>
                <w:szCs w:val="12"/>
                <w:color w:val="auto"/>
              </w:rPr>
            </w:pPr>
          </w:p>
        </w:tc>
        <w:tc>
          <w:tcPr>
            <w:tcW w:w="1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2.00%</w:t>
            </w:r>
          </w:p>
        </w:tc>
        <w:tc>
          <w:tcPr>
            <w:tcW w:w="120" w:type="dxa"/>
            <w:vAlign w:val="bottom"/>
            <w:shd w:val="clear" w:color="auto" w:fill="CFF0FC"/>
          </w:tcPr>
          <w:p>
            <w:pPr>
              <w:spacing w:after="0"/>
              <w:rPr>
                <w:sz w:val="12"/>
                <w:szCs w:val="12"/>
                <w:color w:val="auto"/>
              </w:rPr>
            </w:pPr>
          </w:p>
        </w:tc>
        <w:tc>
          <w:tcPr>
            <w:tcW w:w="1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10.85% to 12.85%</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JP Intermediate B, LLC</w:t>
            </w:r>
          </w:p>
        </w:tc>
        <w:tc>
          <w:tcPr>
            <w:tcW w:w="1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4.00 %</w:t>
            </w: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4.00%</w:t>
            </w: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5.20% to 9.20%</w:t>
            </w:r>
          </w:p>
        </w:tc>
        <w:tc>
          <w:tcPr>
            <w:tcW w:w="0" w:type="dxa"/>
            <w:vAlign w:val="bottom"/>
          </w:tcPr>
          <w:p>
            <w:pPr>
              <w:spacing w:after="0"/>
              <w:rPr>
                <w:sz w:val="1"/>
                <w:szCs w:val="1"/>
                <w:color w:val="auto"/>
              </w:rPr>
            </w:pPr>
          </w:p>
        </w:tc>
      </w:tr>
      <w:tr>
        <w:trPr>
          <w:trHeight w:val="148"/>
        </w:trPr>
        <w:tc>
          <w:tcPr>
            <w:tcW w:w="4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Kreg, LLC</w:t>
            </w:r>
          </w:p>
        </w:tc>
        <w:tc>
          <w:tcPr>
            <w:tcW w:w="188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0.50 %</w:t>
            </w:r>
          </w:p>
        </w:tc>
        <w:tc>
          <w:tcPr>
            <w:tcW w:w="100" w:type="dxa"/>
            <w:vAlign w:val="bottom"/>
            <w:shd w:val="clear" w:color="auto" w:fill="CFF0FC"/>
          </w:tcPr>
          <w:p>
            <w:pPr>
              <w:spacing w:after="0"/>
              <w:rPr>
                <w:sz w:val="12"/>
                <w:szCs w:val="12"/>
                <w:color w:val="auto"/>
              </w:rPr>
            </w:pPr>
          </w:p>
        </w:tc>
        <w:tc>
          <w:tcPr>
            <w:tcW w:w="1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0.50%</w:t>
            </w:r>
          </w:p>
        </w:tc>
        <w:tc>
          <w:tcPr>
            <w:tcW w:w="120" w:type="dxa"/>
            <w:vAlign w:val="bottom"/>
            <w:shd w:val="clear" w:color="auto" w:fill="CFF0FC"/>
          </w:tcPr>
          <w:p>
            <w:pPr>
              <w:spacing w:after="0"/>
              <w:rPr>
                <w:sz w:val="12"/>
                <w:szCs w:val="12"/>
                <w:color w:val="auto"/>
              </w:rPr>
            </w:pPr>
          </w:p>
        </w:tc>
        <w:tc>
          <w:tcPr>
            <w:tcW w:w="1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10.10% to 10.60%</w:t>
            </w:r>
          </w:p>
        </w:tc>
        <w:tc>
          <w:tcPr>
            <w:tcW w:w="0" w:type="dxa"/>
            <w:vAlign w:val="bottom"/>
          </w:tcPr>
          <w:p>
            <w:pPr>
              <w:spacing w:after="0"/>
              <w:rPr>
                <w:sz w:val="1"/>
                <w:szCs w:val="1"/>
                <w:color w:val="auto"/>
              </w:rPr>
            </w:pPr>
          </w:p>
        </w:tc>
      </w:tr>
      <w:tr>
        <w:trPr>
          <w:trHeight w:val="149"/>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RideNow Group, Inc. (F/K/A RumbleOn, Inc.)</w:t>
            </w:r>
          </w:p>
        </w:tc>
        <w:tc>
          <w:tcPr>
            <w:tcW w:w="18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1.0%</w:t>
            </w: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9.68% to 10.68%</w:t>
            </w:r>
          </w:p>
        </w:tc>
        <w:tc>
          <w:tcPr>
            <w:tcW w:w="0" w:type="dxa"/>
            <w:vAlign w:val="bottom"/>
          </w:tcPr>
          <w:p>
            <w:pPr>
              <w:spacing w:after="0"/>
              <w:rPr>
                <w:sz w:val="1"/>
                <w:szCs w:val="1"/>
                <w:color w:val="auto"/>
              </w:rPr>
            </w:pPr>
          </w:p>
        </w:tc>
      </w:tr>
      <w:tr>
        <w:trPr>
          <w:trHeight w:val="148"/>
        </w:trPr>
        <w:tc>
          <w:tcPr>
            <w:tcW w:w="4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RideNow Group, Inc. (F/K/A RumbleOn, Inc.)</w:t>
            </w:r>
          </w:p>
        </w:tc>
        <w:tc>
          <w:tcPr>
            <w:tcW w:w="188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26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FF0FC"/>
          </w:tcPr>
          <w:p>
            <w:pPr>
              <w:spacing w:after="0"/>
              <w:rPr>
                <w:sz w:val="12"/>
                <w:szCs w:val="12"/>
                <w:color w:val="auto"/>
              </w:rPr>
            </w:pPr>
          </w:p>
        </w:tc>
        <w:tc>
          <w:tcPr>
            <w:tcW w:w="1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1.0%</w:t>
            </w:r>
          </w:p>
        </w:tc>
        <w:tc>
          <w:tcPr>
            <w:tcW w:w="120" w:type="dxa"/>
            <w:vAlign w:val="bottom"/>
            <w:shd w:val="clear" w:color="auto" w:fill="CFF0FC"/>
          </w:tcPr>
          <w:p>
            <w:pPr>
              <w:spacing w:after="0"/>
              <w:rPr>
                <w:sz w:val="12"/>
                <w:szCs w:val="12"/>
                <w:color w:val="auto"/>
              </w:rPr>
            </w:pPr>
          </w:p>
        </w:tc>
        <w:tc>
          <w:tcPr>
            <w:tcW w:w="1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9.68% to 10.68%</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expiration date of the warrants.</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investment held by a wholly owned subsidiary subject to income tax.</w:t>
      </w:r>
    </w:p>
    <w:p>
      <w:pPr>
        <w:ind w:left="380" w:hanging="372"/>
        <w:spacing w:after="0" w:line="221" w:lineRule="auto"/>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Fair value was determined by reference to observable inputs other than quoted prices in active markets and are considered Level 2 under GAAP. See </w:t>
      </w:r>
      <w:r>
        <w:rPr>
          <w:rFonts w:ascii="Times New Roman" w:cs="Times New Roman" w:eastAsia="Times New Roman" w:hAnsi="Times New Roman"/>
          <w:sz w:val="14"/>
          <w:szCs w:val="14"/>
          <w:b w:val="1"/>
          <w:bCs w:val="1"/>
          <w:color w:val="auto"/>
        </w:rPr>
        <w:t>Note 5</w:t>
      </w:r>
      <w:r>
        <w:rPr>
          <w:rFonts w:ascii="Times New Roman" w:cs="Times New Roman" w:eastAsia="Times New Roman" w:hAnsi="Times New Roman"/>
          <w:sz w:val="14"/>
          <w:szCs w:val="14"/>
          <w:color w:val="auto"/>
        </w:rPr>
        <w:t xml:space="preserve"> for further details.</w:t>
      </w:r>
    </w:p>
    <w:p>
      <w:pPr>
        <w:ind w:left="380" w:hanging="372"/>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(or a portion thereof) held by OFSCC-FS. These assets are pledged as collateral of the Natixis Facility and cannot be pledged under any debt obligation of the Parent.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 Continued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2" w:lineRule="exact"/>
        <w:rPr>
          <w:sz w:val="20"/>
          <w:szCs w:val="20"/>
          <w:color w:val="auto"/>
        </w:rPr>
      </w:pPr>
    </w:p>
    <w:p>
      <w:pPr>
        <w:ind w:left="380" w:right="160" w:hanging="372"/>
        <w:spacing w:after="0" w:line="233"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Non-qualifying assets under Section 55(a) of the 1940 Act. Qualifying assets as defined in Section 55 of the 1940 Act must represent at least 70% of the Company’s assets immediately following the acquisition of any additional non-qualifying assets. As of March 31, 2026, approximately 83% of the Company's assets were qualifying assets.</w:t>
      </w:r>
    </w:p>
    <w:p>
      <w:pPr>
        <w:ind w:left="380" w:hanging="372"/>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equivalents held in a money market fund as of March 31, 2026. The Company also had cash deposits of $1,977 as of March 31, 2026.</w:t>
      </w:r>
    </w:p>
    <w:p>
      <w:pPr>
        <w:ind w:left="380" w:right="20" w:hanging="372"/>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 as there is no outstanding balance on the revolver or delayed draw facility. The Company generally earns unfunded commitment fees on undrawn revolving lines of credit balances, which are reported in fee income.</w:t>
      </w:r>
    </w:p>
    <w:p>
      <w:pPr>
        <w:ind w:left="380" w:hanging="372"/>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holds at least one seat on the portfolio company’s board of directors.</w:t>
      </w:r>
    </w:p>
    <w:p>
      <w:pPr>
        <w:ind w:left="380" w:hanging="372"/>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an observer seat on the portfolio company’s board of directors.</w:t>
      </w:r>
    </w:p>
    <w:p>
      <w:pPr>
        <w:ind w:left="380" w:hanging="372"/>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investments became contractually due on December 22, 2025. The lending group has entered into a series of forbearance agreements extending the maturity date of the investments. During this period, the Company continues to accrue interest income on the investments.</w:t>
      </w:r>
    </w:p>
    <w:p>
      <w:pPr>
        <w:ind w:left="380" w:hanging="372"/>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the right to receive certain information provided to the board of directors.</w:t>
      </w:r>
    </w:p>
    <w:p>
      <w:pPr>
        <w:spacing w:after="0" w:line="88" w:lineRule="exact"/>
        <w:rPr>
          <w:rFonts w:ascii="Times New Roman" w:cs="Times New Roman" w:eastAsia="Times New Roman" w:hAnsi="Times New Roman"/>
          <w:sz w:val="14"/>
          <w:szCs w:val="14"/>
          <w:color w:val="auto"/>
        </w:rPr>
      </w:pPr>
    </w:p>
    <w:p>
      <w:pPr>
        <w:ind w:left="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See Notes to Consolidated Financial Statements (unaudited).</w:t>
      </w: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09"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00" w:type="dxa"/>
            <w:vAlign w:val="bottom"/>
          </w:tcPr>
          <w:p>
            <w:pPr>
              <w:spacing w:after="0"/>
              <w:rPr>
                <w:sz w:val="13"/>
                <w:szCs w:val="13"/>
                <w:color w:val="auto"/>
              </w:rPr>
            </w:pP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Amortize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Spread Above</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2"/>
                <w:szCs w:val="12"/>
                <w:color w:val="auto"/>
              </w:rPr>
            </w:pPr>
          </w:p>
        </w:tc>
        <w:tc>
          <w:tcPr>
            <w:tcW w:w="6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0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Index (2)</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56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12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gridSpan w:val="2"/>
            <w:shd w:val="clear" w:color="auto" w:fill="CAEEFB"/>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12 Interactive, LLC (D/B/A PerkSpot) (21)</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line="142" w:lineRule="exact"/>
              <w:rPr>
                <w:sz w:val="20"/>
                <w:szCs w:val="20"/>
                <w:color w:val="auto"/>
              </w:rPr>
            </w:pPr>
            <w:r>
              <w:rPr>
                <w:rFonts w:ascii="Times New Roman" w:cs="Times New Roman" w:eastAsia="Times New Roman" w:hAnsi="Times New Roman"/>
                <w:sz w:val="14"/>
                <w:szCs w:val="14"/>
                <w:color w:val="auto"/>
              </w:rPr>
              <w:t>Software Publishers</w:t>
            </w: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9.42%</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9/5/2025</w:t>
            </w:r>
          </w:p>
        </w:tc>
        <w:tc>
          <w:tcPr>
            <w:tcW w:w="7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9/5/2030</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  1,453</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    1,441</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    1,453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9.42%</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9/5/2025</w:t>
            </w:r>
          </w:p>
        </w:tc>
        <w:tc>
          <w:tcPr>
            <w:tcW w:w="78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3/5/2027</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1,120</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1,110</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1,120</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0" w:type="dxa"/>
            <w:vAlign w:val="bottom"/>
          </w:tcPr>
          <w:p>
            <w:pPr>
              <w:spacing w:after="0"/>
              <w:rPr>
                <w:sz w:val="1"/>
                <w:szCs w:val="1"/>
                <w:color w:val="auto"/>
              </w:rPr>
            </w:pPr>
          </w:p>
        </w:tc>
      </w:tr>
      <w:tr>
        <w:trPr>
          <w:trHeight w:val="171"/>
        </w:trPr>
        <w:tc>
          <w:tcPr>
            <w:tcW w:w="256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9/5/2025</w:t>
            </w:r>
          </w:p>
        </w:tc>
        <w:tc>
          <w:tcPr>
            <w:tcW w:w="7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9/5/2030</w:t>
            </w:r>
          </w:p>
        </w:tc>
        <w:tc>
          <w:tcPr>
            <w:tcW w:w="100" w:type="dxa"/>
            <w:vAlign w:val="bottom"/>
          </w:tcPr>
          <w:p>
            <w:pPr>
              <w:spacing w:after="0"/>
              <w:rPr>
                <w:sz w:val="10"/>
                <w:szCs w:val="10"/>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3"/>
        </w:trPr>
        <w:tc>
          <w:tcPr>
            <w:tcW w:w="25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+5.75%</w:t>
            </w:r>
          </w:p>
        </w:tc>
        <w:tc>
          <w:tcPr>
            <w:tcW w:w="7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CAEEFB"/>
          </w:tcPr>
          <w:p>
            <w:pPr>
              <w:spacing w:after="0"/>
              <w:rPr>
                <w:sz w:val="12"/>
                <w:szCs w:val="12"/>
                <w:color w:val="auto"/>
              </w:rPr>
            </w:pPr>
          </w:p>
        </w:tc>
        <w:tc>
          <w:tcPr>
            <w:tcW w:w="2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76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2,573</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2,548</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2,570</w:t>
            </w:r>
          </w:p>
        </w:tc>
        <w:tc>
          <w:tcPr>
            <w:tcW w:w="860" w:type="dxa"/>
            <w:vAlign w:val="bottom"/>
            <w:gridSpan w:val="2"/>
            <w:shd w:val="clear" w:color="auto" w:fill="CAEEFB"/>
          </w:tcPr>
          <w:p>
            <w:pPr>
              <w:jc w:val="right"/>
              <w:spacing w:after="0" w:line="142" w:lineRule="exact"/>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48"/>
        </w:trPr>
        <w:tc>
          <w:tcPr>
            <w:tcW w:w="2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24 Seven Holdco, LLC (15)</w:t>
            </w:r>
          </w:p>
        </w:tc>
        <w:tc>
          <w:tcPr>
            <w:tcW w:w="1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Temporary Help Services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1/28/2022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11/16/202</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8,386</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8,366</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8,361</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0" w:type="dxa"/>
            <w:vAlign w:val="bottom"/>
          </w:tcPr>
          <w:p>
            <w:pPr>
              <w:spacing w:after="0"/>
              <w:rPr>
                <w:sz w:val="1"/>
                <w:szCs w:val="1"/>
                <w:color w:val="auto"/>
              </w:rPr>
            </w:pPr>
          </w:p>
        </w:tc>
      </w:tr>
      <w:tr>
        <w:trPr>
          <w:trHeight w:val="171"/>
        </w:trPr>
        <w:tc>
          <w:tcPr>
            <w:tcW w:w="256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+7.13%</w:t>
            </w: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AIDC IntermediateCo 2, LLC (15)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Computer Systems Design</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8.97%</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7/22/2022</w:t>
            </w:r>
          </w:p>
        </w:tc>
        <w:tc>
          <w:tcPr>
            <w:tcW w:w="7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7/22/2027</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1,940</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1,925</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1,938</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8.97%</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7/31/2023</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7/22/2027</w:t>
            </w:r>
          </w:p>
        </w:tc>
        <w:tc>
          <w:tcPr>
            <w:tcW w:w="100" w:type="dxa"/>
            <w:vAlign w:val="bottom"/>
            <w:vMerge w:val="restart"/>
            <w:shd w:val="clear" w:color="auto" w:fill="CAEEFB"/>
          </w:tcPr>
          <w:p>
            <w:pPr>
              <w:spacing w:after="0"/>
              <w:rPr>
                <w:sz w:val="10"/>
                <w:szCs w:val="10"/>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AEEFB"/>
            </w:tcBorders>
            <w:gridSpan w:val="2"/>
            <w:vMerge w:val="continue"/>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1780" w:type="dxa"/>
            <w:vAlign w:val="bottom"/>
            <w:tcBorders>
              <w:bottom w:val="single" w:sz="8" w:color="CAEEFB"/>
            </w:tcBorders>
            <w:shd w:val="clear" w:color="auto" w:fill="CAEEFB"/>
          </w:tcPr>
          <w:p>
            <w:pPr>
              <w:spacing w:after="0"/>
              <w:rPr>
                <w:sz w:val="13"/>
                <w:szCs w:val="13"/>
                <w:color w:val="auto"/>
              </w:rPr>
            </w:pPr>
          </w:p>
        </w:tc>
        <w:tc>
          <w:tcPr>
            <w:tcW w:w="86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+5.25%</w:t>
            </w:r>
          </w:p>
        </w:tc>
        <w:tc>
          <w:tcPr>
            <w:tcW w:w="76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1,985</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1,970</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1,983</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26"/>
        </w:trPr>
        <w:tc>
          <w:tcPr>
            <w:tcW w:w="256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Allen Media, LLC (15)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Cable and Other Subscription</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Programming</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9.32%</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3/2/2021</w:t>
            </w:r>
          </w:p>
        </w:tc>
        <w:tc>
          <w:tcPr>
            <w:tcW w:w="7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2/10/2027</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3,652</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3,651</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2,862</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AEEFB"/>
          </w:tcPr>
          <w:p>
            <w:pPr>
              <w:spacing w:after="0"/>
              <w:rPr>
                <w:sz w:val="12"/>
                <w:szCs w:val="12"/>
                <w:color w:val="auto"/>
              </w:rPr>
            </w:pPr>
          </w:p>
        </w:tc>
        <w:tc>
          <w:tcPr>
            <w:tcW w:w="2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Associated Spring, LLC (15)</w:t>
            </w:r>
          </w:p>
        </w:tc>
        <w:tc>
          <w:tcPr>
            <w:tcW w:w="1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Spring Manufacturing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8.59%</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12/10/202</w:t>
            </w:r>
          </w:p>
        </w:tc>
        <w:tc>
          <w:tcPr>
            <w:tcW w:w="78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4/4/2030</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2,219</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2,183</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2,212</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71"/>
        </w:trPr>
        <w:tc>
          <w:tcPr>
            <w:tcW w:w="256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+4.75%</w:t>
            </w: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gridSpan w:val="2"/>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 (Delayed Draw) (5)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8.57%</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12/10/202</w:t>
            </w:r>
          </w:p>
        </w:tc>
        <w:tc>
          <w:tcPr>
            <w:tcW w:w="7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4/4/2030</w:t>
            </w:r>
          </w:p>
        </w:tc>
        <w:tc>
          <w:tcPr>
            <w:tcW w:w="100" w:type="dxa"/>
            <w:vAlign w:val="bottom"/>
            <w:vMerge w:val="restart"/>
          </w:tcPr>
          <w:p>
            <w:pPr>
              <w:spacing w:after="0"/>
              <w:rPr>
                <w:sz w:val="10"/>
                <w:szCs w:val="10"/>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vMerge w:val="restart"/>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vMerge w:val="restart"/>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63"/>
        </w:trPr>
        <w:tc>
          <w:tcPr>
            <w:tcW w:w="25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+4.75%</w:t>
            </w:r>
          </w:p>
        </w:tc>
        <w:tc>
          <w:tcPr>
            <w:tcW w:w="760" w:type="dxa"/>
            <w:vAlign w:val="bottom"/>
            <w:gridSpan w:val="2"/>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4</w:t>
            </w:r>
          </w:p>
        </w:tc>
        <w:tc>
          <w:tcPr>
            <w:tcW w:w="7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CAEEFB"/>
          </w:tcPr>
          <w:p>
            <w:pPr>
              <w:spacing w:after="0"/>
              <w:rPr>
                <w:sz w:val="12"/>
                <w:szCs w:val="12"/>
                <w:color w:val="auto"/>
              </w:rPr>
            </w:pPr>
          </w:p>
        </w:tc>
        <w:tc>
          <w:tcPr>
            <w:tcW w:w="2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76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2,457</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2,413</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2,445</w:t>
            </w:r>
          </w:p>
        </w:tc>
        <w:tc>
          <w:tcPr>
            <w:tcW w:w="860" w:type="dxa"/>
            <w:vAlign w:val="bottom"/>
            <w:gridSpan w:val="2"/>
            <w:shd w:val="clear" w:color="auto" w:fill="CAEEFB"/>
          </w:tcPr>
          <w:p>
            <w:pPr>
              <w:jc w:val="right"/>
              <w:spacing w:after="0" w:line="142" w:lineRule="exact"/>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26"/>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Asurion, LLC (14) (15)</w:t>
            </w:r>
          </w:p>
        </w:tc>
        <w:tc>
          <w:tcPr>
            <w:tcW w:w="1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Communication Equipment</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Repair and Maintenance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7.97%</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10/28/202</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9/19/2030</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1,496</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1,493</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1,498</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1"/>
        </w:trPr>
        <w:tc>
          <w:tcPr>
            <w:tcW w:w="256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+4.25%</w:t>
            </w: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gridSpan w:val="2"/>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Avison Young Inc. (8)</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Nonresidential Property</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Managers</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 (11)</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3.70% cash</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12/18/202</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12/12/202</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8.50% PIK</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+8.50%</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jc w:val="center"/>
              <w:spacing w:after="0" w:line="126" w:lineRule="exact"/>
              <w:rPr>
                <w:sz w:val="20"/>
                <w:szCs w:val="20"/>
                <w:color w:val="auto"/>
              </w:rPr>
            </w:pPr>
            <w:r>
              <w:rPr>
                <w:rFonts w:ascii="Times New Roman" w:cs="Times New Roman" w:eastAsia="Times New Roman" w:hAnsi="Times New Roman"/>
                <w:sz w:val="14"/>
                <w:szCs w:val="14"/>
                <w:color w:val="auto"/>
              </w:rPr>
              <w:t>5.20% cash</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12/18/202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12/12/202</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234</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256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 5.85% 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+7.35%</w:t>
            </w: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5.49% cash</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11/25/202</w:t>
            </w:r>
          </w:p>
        </w:tc>
        <w:tc>
          <w:tcPr>
            <w:tcW w:w="7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3/12/2029</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1,669</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1,670</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1,452</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6.50% PIK</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+8.00%</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(6) (10) (11) (15)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jc w:val="center"/>
              <w:spacing w:after="0" w:line="126" w:lineRule="exact"/>
              <w:rPr>
                <w:sz w:val="20"/>
                <w:szCs w:val="20"/>
                <w:color w:val="auto"/>
              </w:rPr>
            </w:pPr>
            <w:r>
              <w:rPr>
                <w:rFonts w:ascii="Times New Roman" w:cs="Times New Roman" w:eastAsia="Times New Roman" w:hAnsi="Times New Roman"/>
                <w:sz w:val="14"/>
                <w:szCs w:val="14"/>
                <w:color w:val="auto"/>
              </w:rPr>
              <w:t>5.60% cash</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11/25/202</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3/12/2029</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329</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213</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249</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2560" w:type="dxa"/>
            <w:vAlign w:val="bottom"/>
            <w:gridSpan w:val="2"/>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 6.50% 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+8.00%</w:t>
            </w: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 Lien Debt (Delayed Draw) (5)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12/18/202</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12/12/202</w:t>
            </w:r>
          </w:p>
        </w:tc>
        <w:tc>
          <w:tcPr>
            <w:tcW w:w="100" w:type="dxa"/>
            <w:vAlign w:val="bottom"/>
          </w:tcPr>
          <w:p>
            <w:pPr>
              <w:spacing w:after="0"/>
              <w:rPr>
                <w:sz w:val="10"/>
                <w:szCs w:val="10"/>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+8.50%</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Common Equity (1,185 Class B units) (10)</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3/12/2024</w:t>
            </w: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34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(13) (15)</w:t>
            </w:r>
          </w:p>
        </w:tc>
        <w:tc>
          <w:tcPr>
            <w:tcW w:w="22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Preferred Equity (1,715 Class A units)</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3/12/2024</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vMerge w:val="restart"/>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58"/>
        </w:trPr>
        <w:tc>
          <w:tcPr>
            <w:tcW w:w="256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12.5% PIK (10) (13) (15)</w:t>
            </w: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CAEEFB"/>
          </w:tcPr>
          <w:p>
            <w:pPr>
              <w:spacing w:after="0"/>
              <w:rPr>
                <w:sz w:val="12"/>
                <w:szCs w:val="12"/>
                <w:color w:val="auto"/>
              </w:rPr>
            </w:pPr>
          </w:p>
        </w:tc>
        <w:tc>
          <w:tcPr>
            <w:tcW w:w="2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76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2,311</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4,865</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2,136</w:t>
            </w:r>
          </w:p>
        </w:tc>
        <w:tc>
          <w:tcPr>
            <w:tcW w:w="860" w:type="dxa"/>
            <w:vAlign w:val="bottom"/>
            <w:gridSpan w:val="2"/>
            <w:shd w:val="clear" w:color="auto" w:fill="CAEEFB"/>
          </w:tcPr>
          <w:p>
            <w:pPr>
              <w:jc w:val="right"/>
              <w:spacing w:after="0" w:line="142" w:lineRule="exact"/>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AEEFB"/>
          </w:tcPr>
          <w:p>
            <w:pPr>
              <w:spacing w:after="0"/>
              <w:rPr>
                <w:sz w:val="12"/>
                <w:szCs w:val="12"/>
                <w:color w:val="auto"/>
              </w:rPr>
            </w:pPr>
          </w:p>
        </w:tc>
        <w:tc>
          <w:tcPr>
            <w:tcW w:w="22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-3402330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-3402330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-3402330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00" w:type="dxa"/>
            <w:vAlign w:val="bottom"/>
          </w:tcPr>
          <w:p>
            <w:pPr>
              <w:spacing w:after="0"/>
              <w:rPr>
                <w:sz w:val="13"/>
                <w:szCs w:val="13"/>
                <w:color w:val="auto"/>
              </w:rPr>
            </w:pP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Amortize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Spread Above</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2"/>
                <w:szCs w:val="12"/>
                <w:color w:val="auto"/>
              </w:rPr>
            </w:pPr>
          </w:p>
        </w:tc>
        <w:tc>
          <w:tcPr>
            <w:tcW w:w="6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0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Index (2)</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19"/>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BayMark Health Services, Inc. (6) (15)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19" w:lineRule="exact"/>
              <w:rPr>
                <w:sz w:val="20"/>
                <w:szCs w:val="20"/>
                <w:color w:val="auto"/>
              </w:rPr>
            </w:pPr>
            <w:r>
              <w:rPr>
                <w:rFonts w:ascii="Times New Roman" w:cs="Times New Roman" w:eastAsia="Times New Roman" w:hAnsi="Times New Roman"/>
                <w:sz w:val="13"/>
                <w:szCs w:val="13"/>
                <w:color w:val="auto"/>
              </w:rPr>
              <w:t>Outpatient Mental Health and</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Substance Abuse Centers</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SOFR 10.50</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6/10/2021</w:t>
            </w:r>
          </w:p>
        </w:tc>
        <w:tc>
          <w:tcPr>
            <w:tcW w:w="7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6/11/2028</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4,962</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4,931</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248</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center"/>
              <w:spacing w:after="0" w:line="126" w:lineRule="exact"/>
              <w:rPr>
                <w:sz w:val="20"/>
                <w:szCs w:val="20"/>
                <w:color w:val="auto"/>
              </w:rPr>
            </w:pPr>
            <w:r>
              <w:rPr>
                <w:rFonts w:ascii="Times New Roman" w:cs="Times New Roman" w:eastAsia="Times New Roman" w:hAnsi="Times New Roman"/>
                <w:sz w:val="14"/>
                <w:szCs w:val="14"/>
                <w:color w:val="auto"/>
              </w:rPr>
              <w:t>SOFR 10.50</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6/10/2021</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6/11/2028</w:t>
            </w:r>
          </w:p>
        </w:tc>
        <w:tc>
          <w:tcPr>
            <w:tcW w:w="100" w:type="dxa"/>
            <w:vAlign w:val="bottom"/>
            <w:vMerge w:val="restart"/>
            <w:shd w:val="clear" w:color="auto" w:fill="CAEEFB"/>
          </w:tcPr>
          <w:p>
            <w:pPr>
              <w:spacing w:after="0"/>
              <w:rPr>
                <w:sz w:val="10"/>
                <w:szCs w:val="10"/>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3,988</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3,961</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vMerge w:val="restart"/>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AEEFB"/>
            </w:tcBorders>
            <w:vMerge w:val="continue"/>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1780" w:type="dxa"/>
            <w:vAlign w:val="bottom"/>
            <w:tcBorders>
              <w:bottom w:val="single" w:sz="8" w:color="CAEEFB"/>
            </w:tcBorders>
            <w:shd w:val="clear" w:color="auto" w:fill="CAEEFB"/>
          </w:tcPr>
          <w:p>
            <w:pPr>
              <w:spacing w:after="0"/>
              <w:rPr>
                <w:sz w:val="13"/>
                <w:szCs w:val="13"/>
                <w:color w:val="auto"/>
              </w:rPr>
            </w:pPr>
          </w:p>
        </w:tc>
        <w:tc>
          <w:tcPr>
            <w:tcW w:w="86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ind w:left="460"/>
              <w:spacing w:after="0" w:line="158"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8,950</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8,892</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447</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Boca Home Care Holdings, Inc. (19)</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Services for the Elderly and</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Persons with Disabilities</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2/25/2022</w:t>
            </w:r>
          </w:p>
        </w:tc>
        <w:tc>
          <w:tcPr>
            <w:tcW w:w="7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2/25/2027</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9,018</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8,983</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9,017</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+6.50%</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2/25/2022</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2/25/2027</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222</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ind w:left="460"/>
              <w:spacing w:after="0"/>
              <w:rPr>
                <w:sz w:val="20"/>
                <w:szCs w:val="20"/>
                <w:color w:val="auto"/>
              </w:rPr>
            </w:pPr>
            <w:r>
              <w:rPr>
                <w:rFonts w:ascii="Times New Roman" w:cs="Times New Roman" w:eastAsia="Times New Roman" w:hAnsi="Times New Roman"/>
                <w:sz w:val="14"/>
                <w:szCs w:val="14"/>
                <w:color w:val="auto"/>
              </w:rPr>
              <w:t>+6.50%</w:t>
            </w: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Equity (1,290 Class A units) (10)</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2/25/2022</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1,290</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768</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Preferred Equity (3,446 Class A Units),</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76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3/3/2023</w:t>
            </w: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vMerge w:val="restart"/>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AEEFB"/>
            </w:tcBorders>
            <w:shd w:val="clear" w:color="auto" w:fill="CAEEFB"/>
          </w:tcPr>
          <w:p>
            <w:pPr>
              <w:spacing w:after="0" w:line="158" w:lineRule="exact"/>
              <w:rPr>
                <w:sz w:val="20"/>
                <w:szCs w:val="20"/>
                <w:color w:val="auto"/>
              </w:rPr>
            </w:pPr>
            <w:r>
              <w:rPr>
                <w:rFonts w:ascii="Times New Roman" w:cs="Times New Roman" w:eastAsia="Times New Roman" w:hAnsi="Times New Roman"/>
                <w:sz w:val="14"/>
                <w:szCs w:val="14"/>
                <w:color w:val="auto"/>
              </w:rPr>
              <w:t>12% cash / 2.0% PIK</w:t>
            </w:r>
          </w:p>
        </w:tc>
        <w:tc>
          <w:tcPr>
            <w:tcW w:w="120" w:type="dxa"/>
            <w:vAlign w:val="bottom"/>
            <w:tcBorders>
              <w:bottom w:val="single" w:sz="8" w:color="CAEEFB"/>
            </w:tcBorders>
            <w:shd w:val="clear" w:color="auto" w:fill="CAEEFB"/>
          </w:tcPr>
          <w:p>
            <w:pPr>
              <w:spacing w:after="0"/>
              <w:rPr>
                <w:sz w:val="13"/>
                <w:szCs w:val="13"/>
                <w:color w:val="auto"/>
              </w:rPr>
            </w:pPr>
          </w:p>
        </w:tc>
        <w:tc>
          <w:tcPr>
            <w:tcW w:w="178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740" w:type="dxa"/>
            <w:vAlign w:val="bottom"/>
            <w:tcBorders>
              <w:bottom w:val="single" w:sz="8" w:color="CAEEFB"/>
            </w:tcBorders>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900" w:type="dxa"/>
            <w:vAlign w:val="bottom"/>
            <w:tcBorders>
              <w:bottom w:val="single" w:sz="8" w:color="CAEEFB"/>
            </w:tcBorders>
            <w:shd w:val="clear" w:color="auto" w:fill="CAEEFB"/>
          </w:tcPr>
          <w:p>
            <w:pPr>
              <w:spacing w:after="0"/>
              <w:rPr>
                <w:sz w:val="13"/>
                <w:szCs w:val="13"/>
                <w:color w:val="auto"/>
              </w:rPr>
            </w:pPr>
          </w:p>
        </w:tc>
        <w:tc>
          <w:tcPr>
            <w:tcW w:w="760" w:type="dxa"/>
            <w:vAlign w:val="bottom"/>
            <w:tcBorders>
              <w:bottom w:val="single" w:sz="8" w:color="CAEEFB"/>
            </w:tcBorders>
            <w:gridSpan w:val="2"/>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680" w:type="dxa"/>
            <w:vAlign w:val="bottom"/>
            <w:tcBorders>
              <w:bottom w:val="single" w:sz="8" w:color="CAEEFB"/>
            </w:tcBorders>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660" w:type="dxa"/>
            <w:vAlign w:val="bottom"/>
            <w:tcBorders>
              <w:bottom w:val="single" w:sz="8" w:color="auto"/>
            </w:tcBorders>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9,244</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10,840</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10,374</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8.4 %</w:t>
            </w: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Clevertech Bidco, LLC</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Commodity Contracts Dealing</w:t>
            </w: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11/3/2023</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12/30/202</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3,133</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3,086</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2,971</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+6.75%</w:t>
            </w:r>
          </w:p>
        </w:tc>
        <w:tc>
          <w:tcPr>
            <w:tcW w:w="760" w:type="dxa"/>
            <w:vAlign w:val="bottom"/>
            <w:gridSpan w:val="2"/>
            <w:vMerge w:val="continue"/>
          </w:tcPr>
          <w:p>
            <w:pPr>
              <w:spacing w:after="0"/>
              <w:rPr>
                <w:sz w:val="14"/>
                <w:szCs w:val="14"/>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11/3/2023</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12/30/202</w:t>
            </w:r>
          </w:p>
        </w:tc>
        <w:tc>
          <w:tcPr>
            <w:tcW w:w="100" w:type="dxa"/>
            <w:vAlign w:val="bottom"/>
            <w:vMerge w:val="restart"/>
            <w:shd w:val="clear" w:color="auto" w:fill="CAEEFB"/>
          </w:tcPr>
          <w:p>
            <w:pPr>
              <w:spacing w:after="0"/>
              <w:rPr>
                <w:sz w:val="10"/>
                <w:szCs w:val="10"/>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vMerge w:val="restart"/>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AEEFB"/>
            </w:tcBorders>
            <w:vMerge w:val="continue"/>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1780" w:type="dxa"/>
            <w:vAlign w:val="bottom"/>
            <w:tcBorders>
              <w:bottom w:val="single" w:sz="8" w:color="CAEEFB"/>
            </w:tcBorders>
            <w:shd w:val="clear" w:color="auto" w:fill="CAEEFB"/>
          </w:tcPr>
          <w:p>
            <w:pPr>
              <w:spacing w:after="0"/>
              <w:rPr>
                <w:sz w:val="13"/>
                <w:szCs w:val="13"/>
                <w:color w:val="auto"/>
              </w:rPr>
            </w:pPr>
          </w:p>
        </w:tc>
        <w:tc>
          <w:tcPr>
            <w:tcW w:w="86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ind w:left="460"/>
              <w:spacing w:after="0" w:line="158" w:lineRule="exact"/>
              <w:rPr>
                <w:sz w:val="20"/>
                <w:szCs w:val="20"/>
                <w:color w:val="auto"/>
              </w:rPr>
            </w:pPr>
            <w:r>
              <w:rPr>
                <w:rFonts w:ascii="Times New Roman" w:cs="Times New Roman" w:eastAsia="Times New Roman" w:hAnsi="Times New Roman"/>
                <w:sz w:val="14"/>
                <w:szCs w:val="14"/>
                <w:color w:val="auto"/>
              </w:rPr>
              <w:t>+6.75%</w:t>
            </w:r>
          </w:p>
        </w:tc>
        <w:tc>
          <w:tcPr>
            <w:tcW w:w="76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shd w:val="clear" w:color="auto" w:fill="CAEEFB"/>
          </w:tcPr>
          <w:p>
            <w:pPr>
              <w:jc w:val="center"/>
              <w:ind w:left="28"/>
              <w:spacing w:after="0" w:line="158"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3,245</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3,193</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3,067</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Constellis Holdings, LLC (10)</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Other Justice, Public Order,</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and Safety Activities</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Equity (20,628 common shares)</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3/27/2020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6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Envocore Holding, LLC (F/K/A LRI</w:t>
            </w:r>
          </w:p>
        </w:tc>
        <w:tc>
          <w:tcPr>
            <w:tcW w:w="120" w:type="dxa"/>
            <w:vAlign w:val="bottom"/>
          </w:tcPr>
          <w:p>
            <w:pPr>
              <w:spacing w:after="0"/>
              <w:rPr>
                <w:sz w:val="10"/>
                <w:szCs w:val="10"/>
                <w:color w:val="auto"/>
              </w:rPr>
            </w:pPr>
          </w:p>
        </w:tc>
        <w:tc>
          <w:tcPr>
            <w:tcW w:w="178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Electrical Contractors and</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Holding,</w:t>
            </w:r>
          </w:p>
        </w:tc>
        <w:tc>
          <w:tcPr>
            <w:tcW w:w="1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Wiring Installation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LLC) (17)</w:t>
            </w:r>
          </w:p>
        </w:tc>
        <w:tc>
          <w:tcPr>
            <w:tcW w:w="12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Contractors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7.50%</w:t>
            </w:r>
          </w:p>
        </w:tc>
        <w:tc>
          <w:tcPr>
            <w:tcW w:w="100" w:type="dxa"/>
            <w:vAlign w:val="bottom"/>
            <w:shd w:val="clear" w:color="auto" w:fill="CAEEFB"/>
          </w:tcPr>
          <w:p>
            <w:pPr>
              <w:spacing w:after="0"/>
              <w:rPr>
                <w:sz w:val="10"/>
                <w:szCs w:val="10"/>
                <w:color w:val="auto"/>
              </w:rPr>
            </w:pPr>
          </w:p>
        </w:tc>
        <w:tc>
          <w:tcPr>
            <w:tcW w:w="90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6/30/2017</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12/31/202</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6,167</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6,167</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6,167</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Second Lien Debt (6) (10)</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10.00% PIK</w:t>
            </w:r>
          </w:p>
        </w:tc>
        <w:tc>
          <w:tcPr>
            <w:tcW w:w="100" w:type="dxa"/>
            <w:vAlign w:val="bottom"/>
          </w:tcPr>
          <w:p>
            <w:pPr>
              <w:spacing w:after="0"/>
              <w:rPr>
                <w:sz w:val="10"/>
                <w:szCs w:val="10"/>
                <w:color w:val="auto"/>
              </w:rPr>
            </w:pPr>
          </w:p>
        </w:tc>
        <w:tc>
          <w:tcPr>
            <w:tcW w:w="9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6/30/2017</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12/31/202</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9,590</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6,584</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2,382</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vMerge w:val="restart"/>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shd w:val="clear" w:color="auto" w:fill="CAEEFB"/>
          </w:tcPr>
          <w:p>
            <w:pPr>
              <w:spacing w:after="0"/>
              <w:rPr>
                <w:sz w:val="10"/>
                <w:szCs w:val="10"/>
                <w:color w:val="auto"/>
              </w:rPr>
            </w:pPr>
          </w:p>
        </w:tc>
        <w:tc>
          <w:tcPr>
            <w:tcW w:w="90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11/29/202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12/31/202</w:t>
            </w:r>
          </w:p>
        </w:tc>
        <w:tc>
          <w:tcPr>
            <w:tcW w:w="100" w:type="dxa"/>
            <w:vAlign w:val="bottom"/>
            <w:shd w:val="clear" w:color="auto" w:fill="CAEEFB"/>
          </w:tcPr>
          <w:p>
            <w:pPr>
              <w:spacing w:after="0"/>
              <w:rPr>
                <w:sz w:val="10"/>
                <w:szCs w:val="10"/>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vMerge w:val="continue"/>
            <w:shd w:val="clear" w:color="auto" w:fill="CAEEFB"/>
          </w:tcPr>
          <w:p>
            <w:pPr>
              <w:spacing w:after="0"/>
              <w:rPr>
                <w:sz w:val="14"/>
                <w:szCs w:val="14"/>
                <w:color w:val="auto"/>
              </w:rPr>
            </w:pP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AEEFB"/>
          </w:tcPr>
          <w:p>
            <w:pPr>
              <w:spacing w:after="0"/>
              <w:rPr>
                <w:sz w:val="14"/>
                <w:szCs w:val="14"/>
                <w:color w:val="auto"/>
              </w:rPr>
            </w:pPr>
          </w:p>
        </w:tc>
        <w:tc>
          <w:tcPr>
            <w:tcW w:w="6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Equity Participation Rights (7) (10)</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12/31/202</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4,722</w:t>
            </w: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76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15,757</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17,473</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8,549</w:t>
            </w:r>
          </w:p>
        </w:tc>
        <w:tc>
          <w:tcPr>
            <w:tcW w:w="860" w:type="dxa"/>
            <w:vAlign w:val="bottom"/>
            <w:gridSpan w:val="2"/>
            <w:shd w:val="clear" w:color="auto" w:fill="CAEEFB"/>
          </w:tcPr>
          <w:p>
            <w:pPr>
              <w:jc w:val="right"/>
              <w:spacing w:after="0" w:line="142" w:lineRule="exact"/>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Excelin Home Health, LLC (6)</w:t>
            </w:r>
          </w:p>
        </w:tc>
        <w:tc>
          <w:tcPr>
            <w:tcW w:w="1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Home Health Care Services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vMerge w:val="restart"/>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18.00% PIK</w:t>
            </w:r>
          </w:p>
        </w:tc>
        <w:tc>
          <w:tcPr>
            <w:tcW w:w="100" w:type="dxa"/>
            <w:vAlign w:val="bottom"/>
            <w:shd w:val="clear" w:color="auto" w:fill="CAEEFB"/>
          </w:tcPr>
          <w:p>
            <w:pPr>
              <w:spacing w:after="0"/>
              <w:rPr>
                <w:sz w:val="10"/>
                <w:szCs w:val="10"/>
                <w:color w:val="auto"/>
              </w:rPr>
            </w:pPr>
          </w:p>
        </w:tc>
        <w:tc>
          <w:tcPr>
            <w:tcW w:w="90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10/25/201</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10/1/2026</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7,119</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6,765</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4,079</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vMerge w:val="continue"/>
            <w:shd w:val="clear" w:color="auto" w:fill="CAEEFB"/>
          </w:tcPr>
          <w:p>
            <w:pPr>
              <w:spacing w:after="0"/>
              <w:rPr>
                <w:sz w:val="14"/>
                <w:szCs w:val="14"/>
                <w:color w:val="auto"/>
              </w:rPr>
            </w:pP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8</w:t>
            </w:r>
          </w:p>
        </w:tc>
        <w:tc>
          <w:tcPr>
            <w:tcW w:w="780" w:type="dxa"/>
            <w:vAlign w:val="bottom"/>
            <w:gridSpan w:val="2"/>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60" w:type="dxa"/>
            <w:vAlign w:val="bottom"/>
            <w:shd w:val="clear" w:color="auto" w:fill="CAEEFB"/>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GoTo Group (F/K/A LogMeIn, Inc.) (14)</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4" w:lineRule="exact"/>
              <w:rPr>
                <w:sz w:val="20"/>
                <w:szCs w:val="20"/>
                <w:color w:val="auto"/>
              </w:rPr>
            </w:pPr>
            <w:r>
              <w:rPr>
                <w:rFonts w:ascii="Times New Roman" w:cs="Times New Roman" w:eastAsia="Times New Roman" w:hAnsi="Times New Roman"/>
                <w:sz w:val="14"/>
                <w:szCs w:val="14"/>
                <w:color w:val="auto"/>
              </w:rPr>
              <w:t>Data Processing, Hosting, and</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5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(15)</w:t>
            </w:r>
          </w:p>
        </w:tc>
        <w:tc>
          <w:tcPr>
            <w:tcW w:w="120" w:type="dxa"/>
            <w:vAlign w:val="bottom"/>
            <w:shd w:val="clear" w:color="auto" w:fill="CAEEFB"/>
          </w:tcPr>
          <w:p>
            <w:pPr>
              <w:spacing w:after="0"/>
              <w:rPr>
                <w:sz w:val="15"/>
                <w:szCs w:val="15"/>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Related Services</w:t>
            </w:r>
          </w:p>
        </w:tc>
        <w:tc>
          <w:tcPr>
            <w:tcW w:w="120" w:type="dxa"/>
            <w:vAlign w:val="bottom"/>
            <w:shd w:val="clear" w:color="auto" w:fill="CAEEFB"/>
          </w:tcPr>
          <w:p>
            <w:pPr>
              <w:spacing w:after="0"/>
              <w:rPr>
                <w:sz w:val="15"/>
                <w:szCs w:val="15"/>
                <w:color w:val="auto"/>
              </w:rPr>
            </w:pPr>
          </w:p>
        </w:tc>
        <w:tc>
          <w:tcPr>
            <w:tcW w:w="74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90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6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8.79%</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3/26/2021</w:t>
            </w:r>
          </w:p>
        </w:tc>
        <w:tc>
          <w:tcPr>
            <w:tcW w:w="7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4/28/2028</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926</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926</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826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+4.75%</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8.79%</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3/26/2021</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4/28/2028</w:t>
            </w:r>
          </w:p>
        </w:tc>
        <w:tc>
          <w:tcPr>
            <w:tcW w:w="100" w:type="dxa"/>
            <w:vAlign w:val="bottom"/>
            <w:vMerge w:val="restart"/>
            <w:shd w:val="clear" w:color="auto" w:fill="CAEEFB"/>
          </w:tcPr>
          <w:p>
            <w:pPr>
              <w:spacing w:after="0"/>
              <w:rPr>
                <w:sz w:val="10"/>
                <w:szCs w:val="10"/>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vMerge w:val="restart"/>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AEEFB"/>
            </w:tcBorders>
            <w:vMerge w:val="continue"/>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1780" w:type="dxa"/>
            <w:vAlign w:val="bottom"/>
            <w:tcBorders>
              <w:bottom w:val="single" w:sz="8" w:color="CAEEFB"/>
            </w:tcBorders>
            <w:shd w:val="clear" w:color="auto" w:fill="CAEEFB"/>
          </w:tcPr>
          <w:p>
            <w:pPr>
              <w:spacing w:after="0"/>
              <w:rPr>
                <w:sz w:val="13"/>
                <w:szCs w:val="13"/>
                <w:color w:val="auto"/>
              </w:rPr>
            </w:pPr>
          </w:p>
        </w:tc>
        <w:tc>
          <w:tcPr>
            <w:tcW w:w="86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ind w:left="460"/>
              <w:spacing w:after="0" w:line="158" w:lineRule="exact"/>
              <w:rPr>
                <w:sz w:val="20"/>
                <w:szCs w:val="20"/>
                <w:color w:val="auto"/>
              </w:rPr>
            </w:pPr>
            <w:r>
              <w:rPr>
                <w:rFonts w:ascii="Times New Roman" w:cs="Times New Roman" w:eastAsia="Times New Roman" w:hAnsi="Times New Roman"/>
                <w:sz w:val="14"/>
                <w:szCs w:val="14"/>
                <w:color w:val="auto"/>
              </w:rPr>
              <w:t>+4.75%</w:t>
            </w:r>
          </w:p>
        </w:tc>
        <w:tc>
          <w:tcPr>
            <w:tcW w:w="76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2,206</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2,205</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1,329</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24"/>
        </w:trPr>
        <w:tc>
          <w:tcPr>
            <w:tcW w:w="2560" w:type="dxa"/>
            <w:vAlign w:val="bottom"/>
            <w:shd w:val="clear" w:color="auto" w:fill="CAEEFB"/>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Heritage Grocers Group, LLC. (F/K/A</w:t>
            </w:r>
          </w:p>
        </w:tc>
        <w:tc>
          <w:tcPr>
            <w:tcW w:w="120" w:type="dxa"/>
            <w:vAlign w:val="bottom"/>
            <w:shd w:val="clear" w:color="auto" w:fill="CAEEFB"/>
          </w:tcPr>
          <w:p>
            <w:pPr>
              <w:spacing w:after="0"/>
              <w:rPr>
                <w:sz w:val="10"/>
                <w:szCs w:val="10"/>
                <w:color w:val="auto"/>
              </w:rPr>
            </w:pPr>
          </w:p>
        </w:tc>
        <w:tc>
          <w:tcPr>
            <w:tcW w:w="178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Supermarkets and Other</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Tony's</w:t>
            </w:r>
          </w:p>
        </w:tc>
        <w:tc>
          <w:tcPr>
            <w:tcW w:w="120" w:type="dxa"/>
            <w:vAlign w:val="bottom"/>
            <w:shd w:val="clear" w:color="auto" w:fill="CAEEFB"/>
          </w:tcPr>
          <w:p>
            <w:pPr>
              <w:spacing w:after="0"/>
              <w:rPr>
                <w:sz w:val="12"/>
                <w:szCs w:val="12"/>
                <w:color w:val="auto"/>
              </w:rPr>
            </w:pPr>
          </w:p>
        </w:tc>
        <w:tc>
          <w:tcPr>
            <w:tcW w:w="1780" w:type="dxa"/>
            <w:vAlign w:val="bottom"/>
            <w:vMerge w:val="continue"/>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Fresh Market / Cardenas Markets) (14)</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Grocery (except Convenience)</w:t>
            </w: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(15)</w:t>
            </w:r>
          </w:p>
        </w:tc>
        <w:tc>
          <w:tcPr>
            <w:tcW w:w="120" w:type="dxa"/>
            <w:vAlign w:val="bottom"/>
            <w:shd w:val="clear" w:color="auto" w:fill="CAEEFB"/>
          </w:tcPr>
          <w:p>
            <w:pPr>
              <w:spacing w:after="0"/>
              <w:rPr>
                <w:sz w:val="15"/>
                <w:szCs w:val="15"/>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Stores</w:t>
            </w:r>
          </w:p>
        </w:tc>
        <w:tc>
          <w:tcPr>
            <w:tcW w:w="120" w:type="dxa"/>
            <w:vAlign w:val="bottom"/>
            <w:shd w:val="clear" w:color="auto" w:fill="CAEEFB"/>
          </w:tcPr>
          <w:p>
            <w:pPr>
              <w:spacing w:after="0"/>
              <w:rPr>
                <w:sz w:val="15"/>
                <w:szCs w:val="15"/>
                <w:color w:val="auto"/>
              </w:rPr>
            </w:pPr>
          </w:p>
        </w:tc>
        <w:tc>
          <w:tcPr>
            <w:tcW w:w="74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90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6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7/20/2022</w:t>
            </w:r>
          </w:p>
        </w:tc>
        <w:tc>
          <w:tcPr>
            <w:tcW w:w="7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8/1/2029</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8,908</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8,763</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6,976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+6.75%</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Honor HN Buyer Inc.</w:t>
            </w:r>
          </w:p>
        </w:tc>
        <w:tc>
          <w:tcPr>
            <w:tcW w:w="1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Services for the Elderly and</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Persons with Disabilities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9.57%</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10/15/202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10/15/202</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3,132</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3,114</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3,132</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ind w:left="460"/>
              <w:spacing w:after="0"/>
              <w:rPr>
                <w:sz w:val="20"/>
                <w:szCs w:val="20"/>
                <w:color w:val="auto"/>
              </w:rPr>
            </w:pPr>
            <w:r>
              <w:rPr>
                <w:rFonts w:ascii="Times New Roman" w:cs="Times New Roman" w:eastAsia="Times New Roman" w:hAnsi="Times New Roman"/>
                <w:sz w:val="14"/>
                <w:szCs w:val="14"/>
                <w:color w:val="auto"/>
              </w:rPr>
              <w:t>+5.75%</w:t>
            </w: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9.57%</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10/15/202</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10/15/202</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1,981</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1,959</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1,981</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+5.75%</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shd w:val="clear" w:color="auto" w:fill="CAEEFB"/>
          </w:tcPr>
          <w:p>
            <w:pPr>
              <w:spacing w:after="0"/>
              <w:rPr>
                <w:sz w:val="10"/>
                <w:szCs w:val="10"/>
                <w:color w:val="auto"/>
              </w:rPr>
            </w:pPr>
          </w:p>
        </w:tc>
        <w:tc>
          <w:tcPr>
            <w:tcW w:w="900" w:type="dxa"/>
            <w:vAlign w:val="bottom"/>
            <w:vMerge w:val="restart"/>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Prime+4.75%</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10/15/202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10/15/202</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vMerge w:val="continue"/>
            <w:shd w:val="clear" w:color="auto" w:fill="CAEEFB"/>
          </w:tcPr>
          <w:p>
            <w:pPr>
              <w:spacing w:after="0"/>
              <w:rPr>
                <w:sz w:val="14"/>
                <w:szCs w:val="14"/>
                <w:color w:val="auto"/>
              </w:rPr>
            </w:pP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9.57%</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3/31/2023</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10/15/202</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2,204</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2,182</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2,204</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88"/>
        </w:trPr>
        <w:tc>
          <w:tcPr>
            <w:tcW w:w="2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+5.75%</w:t>
            </w:r>
          </w:p>
        </w:tc>
        <w:tc>
          <w:tcPr>
            <w:tcW w:w="760" w:type="dxa"/>
            <w:vAlign w:val="bottom"/>
            <w:gridSpan w:val="2"/>
            <w:vMerge w:val="continue"/>
          </w:tcPr>
          <w:p>
            <w:pPr>
              <w:spacing w:after="0"/>
              <w:rPr>
                <w:sz w:val="16"/>
                <w:szCs w:val="16"/>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-5864860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-5864860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-5864860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-4827905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-4827905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-4827905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-4262120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-4262120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-4262120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-1715770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-1715770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-1715770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00" w:type="dxa"/>
            <w:vAlign w:val="bottom"/>
          </w:tcPr>
          <w:p>
            <w:pPr>
              <w:spacing w:after="0"/>
              <w:rPr>
                <w:sz w:val="13"/>
                <w:szCs w:val="13"/>
                <w:color w:val="auto"/>
              </w:rPr>
            </w:pP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Amortize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Spread Above</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2"/>
                <w:szCs w:val="12"/>
                <w:color w:val="auto"/>
              </w:rPr>
            </w:pPr>
          </w:p>
        </w:tc>
        <w:tc>
          <w:tcPr>
            <w:tcW w:w="6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0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Index (2)</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19"/>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(Delayed Draw) (5) (15)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vMerge w:val="restart"/>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19" w:lineRule="exact"/>
              <w:rPr>
                <w:sz w:val="20"/>
                <w:szCs w:val="20"/>
                <w:color w:val="auto"/>
              </w:rPr>
            </w:pPr>
            <w:r>
              <w:rPr>
                <w:rFonts w:ascii="Times New Roman" w:cs="Times New Roman" w:eastAsia="Times New Roman" w:hAnsi="Times New Roman"/>
                <w:sz w:val="13"/>
                <w:szCs w:val="13"/>
                <w:color w:val="auto"/>
              </w:rPr>
              <w:t>SOFR</w:t>
            </w:r>
          </w:p>
        </w:tc>
        <w:tc>
          <w:tcPr>
            <w:tcW w:w="760" w:type="dxa"/>
            <w:vAlign w:val="bottom"/>
            <w:gridSpan w:val="2"/>
            <w:shd w:val="clear" w:color="auto" w:fill="CAEEFB"/>
          </w:tcPr>
          <w:p>
            <w:pPr>
              <w:jc w:val="center"/>
              <w:ind w:left="28"/>
              <w:spacing w:after="0" w:line="119" w:lineRule="exact"/>
              <w:rPr>
                <w:sz w:val="20"/>
                <w:szCs w:val="20"/>
                <w:color w:val="auto"/>
              </w:rPr>
            </w:pPr>
            <w:r>
              <w:rPr>
                <w:rFonts w:ascii="Times New Roman" w:cs="Times New Roman" w:eastAsia="Times New Roman" w:hAnsi="Times New Roman"/>
                <w:sz w:val="13"/>
                <w:szCs w:val="13"/>
                <w:color w:val="auto"/>
              </w:rPr>
              <w:t>10/15/202</w:t>
            </w:r>
          </w:p>
        </w:tc>
        <w:tc>
          <w:tcPr>
            <w:tcW w:w="780" w:type="dxa"/>
            <w:vAlign w:val="bottom"/>
            <w:gridSpan w:val="2"/>
            <w:shd w:val="clear" w:color="auto" w:fill="CAEEFB"/>
          </w:tcPr>
          <w:p>
            <w:pPr>
              <w:jc w:val="center"/>
              <w:ind w:left="8"/>
              <w:spacing w:after="0" w:line="119" w:lineRule="exact"/>
              <w:rPr>
                <w:sz w:val="20"/>
                <w:szCs w:val="20"/>
                <w:color w:val="auto"/>
              </w:rPr>
            </w:pPr>
            <w:r>
              <w:rPr>
                <w:rFonts w:ascii="Times New Roman" w:cs="Times New Roman" w:eastAsia="Times New Roman" w:hAnsi="Times New Roman"/>
                <w:sz w:val="13"/>
                <w:szCs w:val="13"/>
                <w:color w:val="auto"/>
              </w:rPr>
              <w:t>10/15/202</w:t>
            </w:r>
          </w:p>
        </w:tc>
        <w:tc>
          <w:tcPr>
            <w:tcW w:w="100" w:type="dxa"/>
            <w:vAlign w:val="bottom"/>
            <w:shd w:val="clear" w:color="auto" w:fill="CAEEFB"/>
          </w:tcPr>
          <w:p>
            <w:pPr>
              <w:spacing w:after="0"/>
              <w:rPr>
                <w:sz w:val="10"/>
                <w:szCs w:val="10"/>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AEEFB"/>
            </w:tcBorders>
            <w:vMerge w:val="continue"/>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178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740" w:type="dxa"/>
            <w:vAlign w:val="bottom"/>
            <w:tcBorders>
              <w:bottom w:val="single" w:sz="8" w:color="CAEEFB"/>
            </w:tcBorders>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+5.75%</w:t>
            </w:r>
          </w:p>
        </w:tc>
        <w:tc>
          <w:tcPr>
            <w:tcW w:w="760" w:type="dxa"/>
            <w:vAlign w:val="bottom"/>
            <w:tcBorders>
              <w:bottom w:val="single" w:sz="8" w:color="CAEEFB"/>
            </w:tcBorders>
            <w:gridSpan w:val="2"/>
            <w:shd w:val="clear" w:color="auto" w:fill="CAEEFB"/>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4</w:t>
            </w:r>
          </w:p>
        </w:tc>
        <w:tc>
          <w:tcPr>
            <w:tcW w:w="780" w:type="dxa"/>
            <w:vAlign w:val="bottom"/>
            <w:tcBorders>
              <w:bottom w:val="single" w:sz="8" w:color="CAEEFB"/>
            </w:tcBorders>
            <w:gridSpan w:val="2"/>
            <w:shd w:val="clear" w:color="auto" w:fill="CAEEFB"/>
          </w:tcPr>
          <w:p>
            <w:pPr>
              <w:jc w:val="center"/>
              <w:ind w:left="28"/>
              <w:spacing w:after="0" w:line="158"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AEEFB"/>
            </w:tcBorders>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7,364</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7,290</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7,354</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5.9 %</w:t>
            </w:r>
          </w:p>
        </w:tc>
        <w:tc>
          <w:tcPr>
            <w:tcW w:w="0" w:type="dxa"/>
            <w:vAlign w:val="bottom"/>
          </w:tcPr>
          <w:p>
            <w:pPr>
              <w:spacing w:after="0"/>
              <w:rPr>
                <w:sz w:val="1"/>
                <w:szCs w:val="1"/>
                <w:color w:val="auto"/>
              </w:rPr>
            </w:pPr>
          </w:p>
        </w:tc>
      </w:tr>
      <w:tr>
        <w:trPr>
          <w:trHeight w:val="126"/>
        </w:trPr>
        <w:tc>
          <w:tcPr>
            <w:tcW w:w="256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Computer and Computer</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Peripheral Equipment and</w:t>
            </w: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Idera Inc.</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Software Merchant</w:t>
            </w: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Wholesalers</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Second Lien Debt</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1/27/2022</w:t>
            </w:r>
          </w:p>
        </w:tc>
        <w:tc>
          <w:tcPr>
            <w:tcW w:w="7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3/2/2029</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2,683</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2,683</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2,500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+6.75%</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Inergex Holdings, LLC (19)</w:t>
            </w:r>
          </w:p>
        </w:tc>
        <w:tc>
          <w:tcPr>
            <w:tcW w:w="1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Computer Related</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10/1/2018</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10/1/2026</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14,616</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14,562</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14,616</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+7.00%</w:t>
            </w: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(Revolver)</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10/1/2018</w:t>
            </w:r>
          </w:p>
        </w:tc>
        <w:tc>
          <w:tcPr>
            <w:tcW w:w="7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10/1/2026</w:t>
            </w:r>
          </w:p>
        </w:tc>
        <w:tc>
          <w:tcPr>
            <w:tcW w:w="100" w:type="dxa"/>
            <w:vAlign w:val="bottom"/>
            <w:vMerge w:val="restart"/>
          </w:tcPr>
          <w:p>
            <w:pPr>
              <w:spacing w:after="0"/>
              <w:rPr>
                <w:sz w:val="10"/>
                <w:szCs w:val="10"/>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2,344</w:t>
            </w:r>
          </w:p>
        </w:tc>
        <w:tc>
          <w:tcPr>
            <w:tcW w:w="100" w:type="dxa"/>
            <w:vAlign w:val="bottom"/>
            <w:vMerge w:val="restart"/>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2,344</w:t>
            </w:r>
          </w:p>
        </w:tc>
        <w:tc>
          <w:tcPr>
            <w:tcW w:w="100" w:type="dxa"/>
            <w:vAlign w:val="bottom"/>
            <w:vMerge w:val="restart"/>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2,344</w:t>
            </w:r>
          </w:p>
        </w:tc>
        <w:tc>
          <w:tcPr>
            <w:tcW w:w="10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63"/>
        </w:trPr>
        <w:tc>
          <w:tcPr>
            <w:tcW w:w="2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+7.00%</w:t>
            </w:r>
          </w:p>
        </w:tc>
        <w:tc>
          <w:tcPr>
            <w:tcW w:w="7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76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16,960</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16,906</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16,960</w:t>
            </w:r>
          </w:p>
        </w:tc>
        <w:tc>
          <w:tcPr>
            <w:tcW w:w="860" w:type="dxa"/>
            <w:vAlign w:val="bottom"/>
            <w:gridSpan w:val="2"/>
            <w:shd w:val="clear" w:color="auto" w:fill="CAEEFB"/>
          </w:tcPr>
          <w:p>
            <w:pPr>
              <w:jc w:val="right"/>
              <w:spacing w:after="0" w:line="142" w:lineRule="exact"/>
              <w:rPr>
                <w:sz w:val="20"/>
                <w:szCs w:val="20"/>
                <w:color w:val="auto"/>
              </w:rPr>
            </w:pPr>
            <w:r>
              <w:rPr>
                <w:rFonts w:ascii="Times New Roman" w:cs="Times New Roman" w:eastAsia="Times New Roman" w:hAnsi="Times New Roman"/>
                <w:sz w:val="14"/>
                <w:szCs w:val="14"/>
                <w:color w:val="auto"/>
              </w:rPr>
              <w:t>13.9 %</w:t>
            </w: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Integrated Energy Services, LLC</w:t>
            </w:r>
          </w:p>
        </w:tc>
        <w:tc>
          <w:tcPr>
            <w:tcW w:w="1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Computer Systems Design</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9.20%</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12/18/202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12/19/203</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525</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516</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516</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(Delayed Draw) (5)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12/18/202</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12/19/203</w:t>
            </w:r>
          </w:p>
        </w:tc>
        <w:tc>
          <w:tcPr>
            <w:tcW w:w="100" w:type="dxa"/>
            <w:vAlign w:val="bottom"/>
          </w:tcPr>
          <w:p>
            <w:pPr>
              <w:spacing w:after="0"/>
              <w:rPr>
                <w:sz w:val="10"/>
                <w:szCs w:val="10"/>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vMerge w:val="restart"/>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12/18/202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12/19/203</w:t>
            </w:r>
          </w:p>
        </w:tc>
        <w:tc>
          <w:tcPr>
            <w:tcW w:w="100" w:type="dxa"/>
            <w:vAlign w:val="bottom"/>
            <w:shd w:val="clear" w:color="auto" w:fill="CAEEFB"/>
          </w:tcPr>
          <w:p>
            <w:pPr>
              <w:spacing w:after="0"/>
              <w:rPr>
                <w:sz w:val="10"/>
                <w:szCs w:val="10"/>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AEEFB"/>
            </w:tcBorders>
            <w:vMerge w:val="continue"/>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178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740" w:type="dxa"/>
            <w:vAlign w:val="bottom"/>
            <w:tcBorders>
              <w:bottom w:val="single" w:sz="8" w:color="CAEEFB"/>
            </w:tcBorders>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+5.50%</w:t>
            </w:r>
          </w:p>
        </w:tc>
        <w:tc>
          <w:tcPr>
            <w:tcW w:w="760" w:type="dxa"/>
            <w:vAlign w:val="bottom"/>
            <w:tcBorders>
              <w:bottom w:val="single" w:sz="8" w:color="CAEEFB"/>
            </w:tcBorders>
            <w:gridSpan w:val="2"/>
            <w:shd w:val="clear" w:color="auto" w:fill="CAEEFB"/>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5</w:t>
            </w:r>
          </w:p>
        </w:tc>
        <w:tc>
          <w:tcPr>
            <w:tcW w:w="780" w:type="dxa"/>
            <w:vAlign w:val="bottom"/>
            <w:tcBorders>
              <w:bottom w:val="single" w:sz="8" w:color="CAEEFB"/>
            </w:tcBorders>
            <w:gridSpan w:val="2"/>
            <w:shd w:val="clear" w:color="auto" w:fill="CAEEFB"/>
          </w:tcPr>
          <w:p>
            <w:pPr>
              <w:jc w:val="center"/>
              <w:ind w:left="28"/>
              <w:spacing w:after="0" w:line="158"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AEEFB"/>
            </w:tcBorders>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525</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508</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508</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JP Intermediate B, LLC</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Drugs and Druggists' Sundries</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Merchant Wholesalers</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10/2/2025</w:t>
            </w:r>
          </w:p>
        </w:tc>
        <w:tc>
          <w:tcPr>
            <w:tcW w:w="7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9/30/2030</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335</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335</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335</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+7.00%</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(11)</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jc w:val="center"/>
              <w:spacing w:after="0" w:line="126" w:lineRule="exact"/>
              <w:rPr>
                <w:sz w:val="20"/>
                <w:szCs w:val="20"/>
                <w:color w:val="auto"/>
              </w:rPr>
            </w:pPr>
            <w:r>
              <w:rPr>
                <w:rFonts w:ascii="Times New Roman" w:cs="Times New Roman" w:eastAsia="Times New Roman" w:hAnsi="Times New Roman"/>
                <w:sz w:val="14"/>
                <w:szCs w:val="14"/>
                <w:color w:val="auto"/>
              </w:rPr>
              <w:t>5.17% cash</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1/14/2021</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3/31/2031</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1,499</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1,499</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1,474</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 4.00% 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Equity (12,663 Units) (10) (15)</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9/30/2025</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2,992</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76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1,834</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4,826</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1,809</w:t>
            </w:r>
          </w:p>
        </w:tc>
        <w:tc>
          <w:tcPr>
            <w:tcW w:w="860" w:type="dxa"/>
            <w:vAlign w:val="bottom"/>
            <w:gridSpan w:val="2"/>
            <w:shd w:val="clear" w:color="auto" w:fill="CAEEFB"/>
          </w:tcPr>
          <w:p>
            <w:pPr>
              <w:jc w:val="right"/>
              <w:spacing w:after="0" w:line="142" w:lineRule="exact"/>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Kreg LLC (20)</w:t>
            </w:r>
          </w:p>
        </w:tc>
        <w:tc>
          <w:tcPr>
            <w:tcW w:w="1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Ambulatory Health</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Care Services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shd w:val="clear" w:color="auto" w:fill="CAEEFB"/>
          </w:tcPr>
          <w:p>
            <w:pPr>
              <w:jc w:val="center"/>
              <w:spacing w:after="0" w:line="126" w:lineRule="exact"/>
              <w:rPr>
                <w:sz w:val="20"/>
                <w:szCs w:val="20"/>
                <w:color w:val="auto"/>
              </w:rPr>
            </w:pPr>
            <w:r>
              <w:rPr>
                <w:rFonts w:ascii="Times New Roman" w:cs="Times New Roman" w:eastAsia="Times New Roman" w:hAnsi="Times New Roman"/>
                <w:sz w:val="14"/>
                <w:szCs w:val="14"/>
                <w:color w:val="auto"/>
              </w:rPr>
              <w:t>10.07%</w:t>
            </w:r>
          </w:p>
        </w:tc>
        <w:tc>
          <w:tcPr>
            <w:tcW w:w="100" w:type="dxa"/>
            <w:vAlign w:val="bottom"/>
            <w:shd w:val="clear" w:color="auto" w:fill="CAEEFB"/>
          </w:tcPr>
          <w:p>
            <w:pPr>
              <w:spacing w:after="0"/>
              <w:rPr>
                <w:sz w:val="10"/>
                <w:szCs w:val="10"/>
                <w:color w:val="auto"/>
              </w:rPr>
            </w:pPr>
          </w:p>
        </w:tc>
        <w:tc>
          <w:tcPr>
            <w:tcW w:w="900" w:type="dxa"/>
            <w:vAlign w:val="bottom"/>
            <w:vMerge w:val="restart"/>
            <w:shd w:val="clear" w:color="auto" w:fill="CAEEFB"/>
          </w:tcPr>
          <w:p>
            <w:pPr>
              <w:jc w:val="right"/>
              <w:ind w:right="408"/>
              <w:spacing w:after="0"/>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12/20/202</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12/20/202</w:t>
            </w: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(11) (15)</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jc w:val="center"/>
              <w:spacing w:after="0" w:line="149" w:lineRule="exact"/>
              <w:rPr>
                <w:sz w:val="20"/>
                <w:szCs w:val="20"/>
                <w:color w:val="auto"/>
              </w:rPr>
            </w:pPr>
            <w:r>
              <w:rPr>
                <w:rFonts w:ascii="Times New Roman" w:cs="Times New Roman" w:eastAsia="Times New Roman" w:hAnsi="Times New Roman"/>
                <w:sz w:val="14"/>
                <w:szCs w:val="14"/>
                <w:color w:val="auto"/>
              </w:rPr>
              <w:t>cash /</w:t>
            </w:r>
          </w:p>
        </w:tc>
        <w:tc>
          <w:tcPr>
            <w:tcW w:w="100" w:type="dxa"/>
            <w:vAlign w:val="bottom"/>
            <w:shd w:val="clear" w:color="auto" w:fill="CAEEFB"/>
          </w:tcPr>
          <w:p>
            <w:pPr>
              <w:spacing w:after="0"/>
              <w:rPr>
                <w:sz w:val="12"/>
                <w:szCs w:val="12"/>
                <w:color w:val="auto"/>
              </w:rPr>
            </w:pPr>
          </w:p>
        </w:tc>
        <w:tc>
          <w:tcPr>
            <w:tcW w:w="900" w:type="dxa"/>
            <w:vAlign w:val="bottom"/>
            <w:vMerge w:val="continue"/>
            <w:shd w:val="clear" w:color="auto" w:fill="CAEEFB"/>
          </w:tcPr>
          <w:p>
            <w:pPr>
              <w:spacing w:after="0"/>
              <w:rPr>
                <w:sz w:val="12"/>
                <w:szCs w:val="12"/>
                <w:color w:val="auto"/>
              </w:rPr>
            </w:pPr>
          </w:p>
        </w:tc>
        <w:tc>
          <w:tcPr>
            <w:tcW w:w="760" w:type="dxa"/>
            <w:vAlign w:val="bottom"/>
            <w:gridSpan w:val="2"/>
            <w:vMerge w:val="continue"/>
            <w:shd w:val="clear" w:color="auto" w:fill="CAEEFB"/>
          </w:tcPr>
          <w:p>
            <w:pPr>
              <w:spacing w:after="0"/>
              <w:rPr>
                <w:sz w:val="12"/>
                <w:szCs w:val="12"/>
                <w:color w:val="auto"/>
              </w:rPr>
            </w:pPr>
          </w:p>
        </w:tc>
        <w:tc>
          <w:tcPr>
            <w:tcW w:w="780" w:type="dxa"/>
            <w:vAlign w:val="bottom"/>
            <w:gridSpan w:val="2"/>
            <w:vMerge w:val="continue"/>
            <w:shd w:val="clear" w:color="auto" w:fill="CAEEFB"/>
          </w:tcPr>
          <w:p>
            <w:pPr>
              <w:spacing w:after="0"/>
              <w:rPr>
                <w:sz w:val="12"/>
                <w:szCs w:val="12"/>
                <w:color w:val="auto"/>
              </w:rPr>
            </w:pP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17,256</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17,233</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16,773</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0.50% 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+6.25%</w:t>
            </w: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12/20/202</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12/20/202</w:t>
            </w:r>
          </w:p>
        </w:tc>
        <w:tc>
          <w:tcPr>
            <w:tcW w:w="100" w:type="dxa"/>
            <w:vAlign w:val="bottom"/>
            <w:vMerge w:val="restart"/>
          </w:tcPr>
          <w:p>
            <w:pPr>
              <w:spacing w:after="0"/>
              <w:rPr>
                <w:sz w:val="10"/>
                <w:szCs w:val="10"/>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vMerge w:val="restart"/>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vMerge w:val="restart"/>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63"/>
        </w:trPr>
        <w:tc>
          <w:tcPr>
            <w:tcW w:w="2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+6.25%</w:t>
            </w:r>
          </w:p>
        </w:tc>
        <w:tc>
          <w:tcPr>
            <w:tcW w:w="760" w:type="dxa"/>
            <w:vAlign w:val="bottom"/>
            <w:gridSpan w:val="2"/>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tcPr>
          <w:p>
            <w:pPr>
              <w:jc w:val="center"/>
              <w:ind w:left="28"/>
              <w:spacing w:after="0" w:line="158"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76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18,593</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18,568</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18,073</w:t>
            </w:r>
          </w:p>
        </w:tc>
        <w:tc>
          <w:tcPr>
            <w:tcW w:w="860" w:type="dxa"/>
            <w:vAlign w:val="bottom"/>
            <w:gridSpan w:val="2"/>
            <w:shd w:val="clear" w:color="auto" w:fill="CAEEFB"/>
          </w:tcPr>
          <w:p>
            <w:pPr>
              <w:jc w:val="right"/>
              <w:spacing w:after="0" w:line="142" w:lineRule="exact"/>
              <w:rPr>
                <w:sz w:val="20"/>
                <w:szCs w:val="20"/>
                <w:color w:val="auto"/>
              </w:rPr>
            </w:pPr>
            <w:r>
              <w:rPr>
                <w:rFonts w:ascii="Times New Roman" w:cs="Times New Roman" w:eastAsia="Times New Roman" w:hAnsi="Times New Roman"/>
                <w:sz w:val="14"/>
                <w:szCs w:val="14"/>
                <w:color w:val="auto"/>
              </w:rPr>
              <w:t>14.7 %</w:t>
            </w: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M2S Group Intermediate Holdings Inc.</w:t>
            </w:r>
          </w:p>
        </w:tc>
        <w:tc>
          <w:tcPr>
            <w:tcW w:w="1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Plastics Packaging Film and</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Sheet (including Laminated)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(14) (15)</w:t>
            </w:r>
          </w:p>
        </w:tc>
        <w:tc>
          <w:tcPr>
            <w:tcW w:w="12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8.59%</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10/28/202</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8/25/2031</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1,500</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1,483</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1,493</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+4.75%</w:t>
            </w: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gridSpan w:val="2"/>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Medrina LLC</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All Other Outpatient Care</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Centers</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9.69%</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10/20/202</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10/20/202</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2,190</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2,155</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2,190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10/20/202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10/20/202</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367</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364</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367</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n/m (18)</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10/20/202</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10/20/202</w:t>
            </w:r>
          </w:p>
        </w:tc>
        <w:tc>
          <w:tcPr>
            <w:tcW w:w="100" w:type="dxa"/>
            <w:vAlign w:val="bottom"/>
          </w:tcPr>
          <w:p>
            <w:pPr>
              <w:spacing w:after="0"/>
              <w:rPr>
                <w:sz w:val="10"/>
                <w:szCs w:val="10"/>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3"/>
        </w:trPr>
        <w:tc>
          <w:tcPr>
            <w:tcW w:w="2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+6.00%</w:t>
            </w:r>
          </w:p>
        </w:tc>
        <w:tc>
          <w:tcPr>
            <w:tcW w:w="760" w:type="dxa"/>
            <w:vAlign w:val="bottom"/>
            <w:gridSpan w:val="2"/>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3</w:t>
            </w:r>
          </w:p>
        </w:tc>
        <w:tc>
          <w:tcPr>
            <w:tcW w:w="780" w:type="dxa"/>
            <w:vAlign w:val="bottom"/>
            <w:gridSpan w:val="2"/>
          </w:tcPr>
          <w:p>
            <w:pPr>
              <w:jc w:val="center"/>
              <w:ind w:left="28"/>
              <w:spacing w:after="0" w:line="158"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76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2,557</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2,514</w:t>
            </w:r>
          </w:p>
        </w:tc>
        <w:tc>
          <w:tcPr>
            <w:tcW w:w="880" w:type="dxa"/>
            <w:vAlign w:val="bottom"/>
            <w:gridSpan w:val="2"/>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2,557</w:t>
            </w:r>
          </w:p>
        </w:tc>
        <w:tc>
          <w:tcPr>
            <w:tcW w:w="860" w:type="dxa"/>
            <w:vAlign w:val="bottom"/>
            <w:gridSpan w:val="2"/>
            <w:shd w:val="clear" w:color="auto" w:fill="CAEEFB"/>
          </w:tcPr>
          <w:p>
            <w:pPr>
              <w:jc w:val="right"/>
              <w:spacing w:after="0" w:line="142" w:lineRule="exact"/>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Metasource, LLC (15)</w:t>
            </w:r>
          </w:p>
        </w:tc>
        <w:tc>
          <w:tcPr>
            <w:tcW w:w="1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All Other Business Support</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shd w:val="clear" w:color="auto" w:fill="CAEEFB"/>
          </w:tcPr>
          <w:p>
            <w:pPr>
              <w:jc w:val="center"/>
              <w:spacing w:after="0" w:line="126" w:lineRule="exact"/>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CAEEFB"/>
          </w:tcPr>
          <w:p>
            <w:pPr>
              <w:spacing w:after="0"/>
              <w:rPr>
                <w:sz w:val="10"/>
                <w:szCs w:val="10"/>
                <w:color w:val="auto"/>
              </w:rPr>
            </w:pPr>
          </w:p>
        </w:tc>
        <w:tc>
          <w:tcPr>
            <w:tcW w:w="900" w:type="dxa"/>
            <w:vAlign w:val="bottom"/>
            <w:vMerge w:val="restart"/>
            <w:shd w:val="clear" w:color="auto" w:fill="CAEEFB"/>
          </w:tcPr>
          <w:p>
            <w:pPr>
              <w:jc w:val="right"/>
              <w:ind w:right="408"/>
              <w:spacing w:after="0"/>
              <w:rPr>
                <w:sz w:val="20"/>
                <w:szCs w:val="20"/>
                <w:color w:val="auto"/>
              </w:rPr>
            </w:pPr>
            <w:r>
              <w:rPr>
                <w:rFonts w:ascii="Times New Roman" w:cs="Times New Roman" w:eastAsia="Times New Roman" w:hAnsi="Times New Roman"/>
                <w:sz w:val="14"/>
                <w:szCs w:val="14"/>
                <w:color w:val="auto"/>
              </w:rPr>
              <w:t>SOFR</w:t>
            </w: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jc w:val="center"/>
              <w:spacing w:after="0" w:line="149" w:lineRule="exact"/>
              <w:rPr>
                <w:sz w:val="20"/>
                <w:szCs w:val="20"/>
                <w:color w:val="auto"/>
              </w:rPr>
            </w:pPr>
            <w:r>
              <w:rPr>
                <w:rFonts w:ascii="Times New Roman" w:cs="Times New Roman" w:eastAsia="Times New Roman" w:hAnsi="Times New Roman"/>
                <w:sz w:val="14"/>
                <w:szCs w:val="14"/>
                <w:color w:val="auto"/>
              </w:rPr>
              <w:t>cash /</w:t>
            </w:r>
          </w:p>
        </w:tc>
        <w:tc>
          <w:tcPr>
            <w:tcW w:w="100" w:type="dxa"/>
            <w:vAlign w:val="bottom"/>
            <w:shd w:val="clear" w:color="auto" w:fill="CAEEFB"/>
          </w:tcPr>
          <w:p>
            <w:pPr>
              <w:spacing w:after="0"/>
              <w:rPr>
                <w:sz w:val="12"/>
                <w:szCs w:val="12"/>
                <w:color w:val="auto"/>
              </w:rPr>
            </w:pPr>
          </w:p>
        </w:tc>
        <w:tc>
          <w:tcPr>
            <w:tcW w:w="900" w:type="dxa"/>
            <w:vAlign w:val="bottom"/>
            <w:vMerge w:val="continue"/>
            <w:shd w:val="clear" w:color="auto" w:fill="CAEEFB"/>
          </w:tcPr>
          <w:p>
            <w:pPr>
              <w:spacing w:after="0"/>
              <w:rPr>
                <w:sz w:val="12"/>
                <w:szCs w:val="12"/>
                <w:color w:val="auto"/>
              </w:rPr>
            </w:pP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5/17/2022</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5/17/2027</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2,727</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2,708</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2,645</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0.50% 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+6.25%</w:t>
            </w: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-5862955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-5862955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-5862955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-3693795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-3693795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-3693795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00" w:type="dxa"/>
            <w:vAlign w:val="bottom"/>
          </w:tcPr>
          <w:p>
            <w:pPr>
              <w:spacing w:after="0"/>
              <w:rPr>
                <w:sz w:val="13"/>
                <w:szCs w:val="13"/>
                <w:color w:val="auto"/>
              </w:rPr>
            </w:pP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Amortize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Spread Above</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2"/>
                <w:szCs w:val="12"/>
                <w:color w:val="auto"/>
              </w:rPr>
            </w:pPr>
          </w:p>
        </w:tc>
        <w:tc>
          <w:tcPr>
            <w:tcW w:w="6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0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Index (2)</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19"/>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One GI LLC</w:t>
            </w:r>
          </w:p>
        </w:tc>
        <w:tc>
          <w:tcPr>
            <w:tcW w:w="120" w:type="dxa"/>
            <w:vAlign w:val="bottom"/>
          </w:tcPr>
          <w:p>
            <w:pPr>
              <w:spacing w:after="0"/>
              <w:rPr>
                <w:sz w:val="10"/>
                <w:szCs w:val="10"/>
                <w:color w:val="auto"/>
              </w:rPr>
            </w:pPr>
          </w:p>
        </w:tc>
        <w:tc>
          <w:tcPr>
            <w:tcW w:w="17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Offices of Other Holding</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Companies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12/13/202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12/22/202</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7,280</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7,280</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6,618</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+6.75%</w:t>
            </w: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5 (22)</w:t>
            </w: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12/13/202</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12/22/202</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3,837</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3,837</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3,488</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+6.75%</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5 (22)</w:t>
            </w: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12/13/202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12/22/202</w:t>
            </w:r>
          </w:p>
        </w:tc>
        <w:tc>
          <w:tcPr>
            <w:tcW w:w="100" w:type="dxa"/>
            <w:vAlign w:val="bottom"/>
            <w:vMerge w:val="restart"/>
            <w:shd w:val="clear" w:color="auto" w:fill="CAEEFB"/>
          </w:tcPr>
          <w:p>
            <w:pPr>
              <w:spacing w:after="0"/>
              <w:rPr>
                <w:sz w:val="10"/>
                <w:szCs w:val="10"/>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1,313</w:t>
            </w:r>
          </w:p>
        </w:tc>
        <w:tc>
          <w:tcPr>
            <w:tcW w:w="100" w:type="dxa"/>
            <w:vAlign w:val="bottom"/>
            <w:vMerge w:val="restart"/>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AEEFB"/>
            </w:tcBorders>
            <w:vMerge w:val="continue"/>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1780" w:type="dxa"/>
            <w:vAlign w:val="bottom"/>
            <w:tcBorders>
              <w:bottom w:val="single" w:sz="8" w:color="CAEEFB"/>
            </w:tcBorders>
            <w:shd w:val="clear" w:color="auto" w:fill="CAEEFB"/>
          </w:tcPr>
          <w:p>
            <w:pPr>
              <w:spacing w:after="0"/>
              <w:rPr>
                <w:sz w:val="13"/>
                <w:szCs w:val="13"/>
                <w:color w:val="auto"/>
              </w:rPr>
            </w:pPr>
          </w:p>
        </w:tc>
        <w:tc>
          <w:tcPr>
            <w:tcW w:w="86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+6.75%</w:t>
            </w:r>
          </w:p>
        </w:tc>
        <w:tc>
          <w:tcPr>
            <w:tcW w:w="760" w:type="dxa"/>
            <w:vAlign w:val="bottom"/>
            <w:tcBorders>
              <w:bottom w:val="single" w:sz="8" w:color="CAEEFB"/>
            </w:tcBorders>
            <w:gridSpan w:val="2"/>
            <w:shd w:val="clear" w:color="auto" w:fill="CAEEFB"/>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1</w:t>
            </w:r>
          </w:p>
        </w:tc>
        <w:tc>
          <w:tcPr>
            <w:tcW w:w="780" w:type="dxa"/>
            <w:vAlign w:val="bottom"/>
            <w:tcBorders>
              <w:bottom w:val="single" w:sz="8" w:color="CAEEFB"/>
            </w:tcBorders>
            <w:gridSpan w:val="2"/>
            <w:shd w:val="clear" w:color="auto" w:fill="CAEEFB"/>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5 (22)</w:t>
            </w: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12,561</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12,561</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11,419</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r>
        <w:trPr>
          <w:trHeight w:val="124"/>
        </w:trPr>
        <w:tc>
          <w:tcPr>
            <w:tcW w:w="2560" w:type="dxa"/>
            <w:vAlign w:val="bottom"/>
            <w:shd w:val="clear" w:color="auto" w:fill="CAEEFB"/>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Planet Bingo, LLC (F/K/A 3rd Rock</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Gaming</w:t>
            </w:r>
          </w:p>
        </w:tc>
        <w:tc>
          <w:tcPr>
            <w:tcW w:w="120" w:type="dxa"/>
            <w:vAlign w:val="bottom"/>
            <w:shd w:val="clear" w:color="auto" w:fill="CAEEFB"/>
          </w:tcPr>
          <w:p>
            <w:pPr>
              <w:spacing w:after="0"/>
              <w:rPr>
                <w:sz w:val="12"/>
                <w:szCs w:val="12"/>
                <w:color w:val="auto"/>
              </w:rPr>
            </w:pPr>
          </w:p>
        </w:tc>
        <w:tc>
          <w:tcPr>
            <w:tcW w:w="178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Software Publishers</w:t>
            </w: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Holdings, LLC) (6)</w:t>
            </w:r>
          </w:p>
        </w:tc>
        <w:tc>
          <w:tcPr>
            <w:tcW w:w="120" w:type="dxa"/>
            <w:vAlign w:val="bottom"/>
            <w:shd w:val="clear" w:color="auto" w:fill="CAEEFB"/>
          </w:tcPr>
          <w:p>
            <w:pPr>
              <w:spacing w:after="0"/>
              <w:rPr>
                <w:sz w:val="15"/>
                <w:szCs w:val="15"/>
                <w:color w:val="auto"/>
              </w:rPr>
            </w:pPr>
          </w:p>
        </w:tc>
        <w:tc>
          <w:tcPr>
            <w:tcW w:w="1780" w:type="dxa"/>
            <w:vAlign w:val="bottom"/>
            <w:vMerge w:val="continue"/>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74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90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6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6.50%</w:t>
            </w:r>
          </w:p>
        </w:tc>
        <w:tc>
          <w:tcPr>
            <w:tcW w:w="100" w:type="dxa"/>
            <w:vAlign w:val="bottom"/>
          </w:tcPr>
          <w:p>
            <w:pPr>
              <w:spacing w:after="0"/>
              <w:rPr>
                <w:sz w:val="10"/>
                <w:szCs w:val="10"/>
                <w:color w:val="auto"/>
              </w:rPr>
            </w:pPr>
          </w:p>
        </w:tc>
        <w:tc>
          <w:tcPr>
            <w:tcW w:w="9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3/13/2018</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12/31/202</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16,648</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14,113</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7,242</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All Other General</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PM Acquisition LLC</w:t>
            </w:r>
          </w:p>
        </w:tc>
        <w:tc>
          <w:tcPr>
            <w:tcW w:w="1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Merchandise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Stores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Common Equity (499 units)</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760" w:type="dxa"/>
            <w:vAlign w:val="bottom"/>
            <w:gridSpan w:val="2"/>
            <w:shd w:val="clear" w:color="auto" w:fill="CAEEFB"/>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9/30/2017</w:t>
            </w: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880" w:type="dxa"/>
            <w:vAlign w:val="bottom"/>
            <w:gridSpan w:val="2"/>
            <w:shd w:val="clear" w:color="auto" w:fill="CAEEFB"/>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880" w:type="dxa"/>
            <w:vAlign w:val="bottom"/>
            <w:gridSpan w:val="2"/>
            <w:shd w:val="clear" w:color="auto" w:fill="CAEEFB"/>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1,181</w:t>
            </w:r>
          </w:p>
        </w:tc>
        <w:tc>
          <w:tcPr>
            <w:tcW w:w="860" w:type="dxa"/>
            <w:vAlign w:val="bottom"/>
            <w:gridSpan w:val="2"/>
            <w:shd w:val="clear" w:color="auto" w:fill="CAEEFB"/>
          </w:tcPr>
          <w:p>
            <w:pPr>
              <w:jc w:val="right"/>
              <w:spacing w:after="0" w:line="149" w:lineRule="exact"/>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Lessors of Nonfinancial</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PSB Group, LLC (19)</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(except</w:t>
            </w: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Copyrighted Works)</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4/17/2025</w:t>
            </w:r>
          </w:p>
        </w:tc>
        <w:tc>
          <w:tcPr>
            <w:tcW w:w="7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4/17/2030</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7,882</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7,848</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7,879</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+6.75%</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4/17/2025</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4/17/2030</w:t>
            </w:r>
          </w:p>
        </w:tc>
        <w:tc>
          <w:tcPr>
            <w:tcW w:w="100" w:type="dxa"/>
            <w:vAlign w:val="bottom"/>
            <w:vMerge w:val="restart"/>
            <w:shd w:val="clear" w:color="auto" w:fill="CAEEFB"/>
          </w:tcPr>
          <w:p>
            <w:pPr>
              <w:spacing w:after="0"/>
              <w:rPr>
                <w:sz w:val="10"/>
                <w:szCs w:val="10"/>
                <w:color w:val="auto"/>
              </w:rPr>
            </w:pPr>
          </w:p>
        </w:tc>
        <w:tc>
          <w:tcPr>
            <w:tcW w:w="6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vMerge w:val="restart"/>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AEEFB"/>
            </w:tcBorders>
            <w:vMerge w:val="continue"/>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1780" w:type="dxa"/>
            <w:vAlign w:val="bottom"/>
            <w:tcBorders>
              <w:bottom w:val="single" w:sz="8" w:color="CAEEFB"/>
            </w:tcBorders>
            <w:shd w:val="clear" w:color="auto" w:fill="CAEEFB"/>
          </w:tcPr>
          <w:p>
            <w:pPr>
              <w:spacing w:after="0"/>
              <w:rPr>
                <w:sz w:val="13"/>
                <w:szCs w:val="13"/>
                <w:color w:val="auto"/>
              </w:rPr>
            </w:pPr>
          </w:p>
        </w:tc>
        <w:tc>
          <w:tcPr>
            <w:tcW w:w="86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+6.75%</w:t>
            </w:r>
          </w:p>
        </w:tc>
        <w:tc>
          <w:tcPr>
            <w:tcW w:w="76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6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8,288</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8,249</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8,284</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6.7 %</w:t>
            </w:r>
          </w:p>
        </w:tc>
        <w:tc>
          <w:tcPr>
            <w:tcW w:w="0" w:type="dxa"/>
            <w:vAlign w:val="bottom"/>
          </w:tcPr>
          <w:p>
            <w:pPr>
              <w:spacing w:after="0"/>
              <w:rPr>
                <w:sz w:val="1"/>
                <w:szCs w:val="1"/>
                <w:color w:val="auto"/>
              </w:rPr>
            </w:pPr>
          </w:p>
        </w:tc>
      </w:tr>
      <w:tr>
        <w:trPr>
          <w:trHeight w:val="126"/>
        </w:trPr>
        <w:tc>
          <w:tcPr>
            <w:tcW w:w="256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Computer and Computer</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Redstone Holdco 2 LP (F/K/A RSA</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Peripheral Equipment and</w:t>
            </w: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60" w:type="dxa"/>
            <w:vAlign w:val="bottom"/>
            <w:vMerge w:val="continue"/>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line="147" w:lineRule="exact"/>
              <w:rPr>
                <w:sz w:val="20"/>
                <w:szCs w:val="20"/>
                <w:color w:val="auto"/>
              </w:rPr>
            </w:pPr>
            <w:r>
              <w:rPr>
                <w:rFonts w:ascii="Times New Roman" w:cs="Times New Roman" w:eastAsia="Times New Roman" w:hAnsi="Times New Roman"/>
                <w:sz w:val="14"/>
                <w:szCs w:val="14"/>
                <w:color w:val="auto"/>
              </w:rPr>
              <w:t>Software Merchant</w:t>
            </w: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Security) (15)</w:t>
            </w:r>
          </w:p>
        </w:tc>
        <w:tc>
          <w:tcPr>
            <w:tcW w:w="120" w:type="dxa"/>
            <w:vAlign w:val="bottom"/>
            <w:shd w:val="clear" w:color="auto" w:fill="CAEEFB"/>
          </w:tcPr>
          <w:p>
            <w:pPr>
              <w:spacing w:after="0"/>
              <w:rPr>
                <w:sz w:val="15"/>
                <w:szCs w:val="15"/>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Wholesalers</w:t>
            </w:r>
          </w:p>
        </w:tc>
        <w:tc>
          <w:tcPr>
            <w:tcW w:w="120" w:type="dxa"/>
            <w:vAlign w:val="bottom"/>
            <w:shd w:val="clear" w:color="auto" w:fill="CAEEFB"/>
          </w:tcPr>
          <w:p>
            <w:pPr>
              <w:spacing w:after="0"/>
              <w:rPr>
                <w:sz w:val="15"/>
                <w:szCs w:val="15"/>
                <w:color w:val="auto"/>
              </w:rPr>
            </w:pPr>
          </w:p>
        </w:tc>
        <w:tc>
          <w:tcPr>
            <w:tcW w:w="74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90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6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8.85%</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4/16/2021</w:t>
            </w:r>
          </w:p>
        </w:tc>
        <w:tc>
          <w:tcPr>
            <w:tcW w:w="7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4/27/2028</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1,715</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1,711</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1,289</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+4.75%</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6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RideNow Group, Inc. (F/K/A RumbleOn,</w:t>
            </w:r>
          </w:p>
        </w:tc>
        <w:tc>
          <w:tcPr>
            <w:tcW w:w="120" w:type="dxa"/>
            <w:vAlign w:val="bottom"/>
          </w:tcPr>
          <w:p>
            <w:pPr>
              <w:spacing w:after="0"/>
              <w:rPr>
                <w:sz w:val="10"/>
                <w:szCs w:val="10"/>
                <w:color w:val="auto"/>
              </w:rPr>
            </w:pPr>
          </w:p>
        </w:tc>
        <w:tc>
          <w:tcPr>
            <w:tcW w:w="178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Other Industrial Machinery</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Inc.) (8) (15)</w:t>
            </w:r>
          </w:p>
        </w:tc>
        <w:tc>
          <w:tcPr>
            <w:tcW w:w="12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shd w:val="clear" w:color="auto" w:fill="CAEEFB"/>
          </w:tcPr>
          <w:p>
            <w:pPr>
              <w:jc w:val="center"/>
              <w:spacing w:after="0" w:line="126" w:lineRule="exact"/>
              <w:rPr>
                <w:sz w:val="20"/>
                <w:szCs w:val="20"/>
                <w:color w:val="auto"/>
              </w:rPr>
            </w:pPr>
            <w:r>
              <w:rPr>
                <w:rFonts w:ascii="Times New Roman" w:cs="Times New Roman" w:eastAsia="Times New Roman" w:hAnsi="Times New Roman"/>
                <w:sz w:val="14"/>
                <w:szCs w:val="14"/>
                <w:color w:val="auto"/>
              </w:rPr>
              <w:t>12.10%</w:t>
            </w:r>
          </w:p>
        </w:tc>
        <w:tc>
          <w:tcPr>
            <w:tcW w:w="100" w:type="dxa"/>
            <w:vAlign w:val="bottom"/>
            <w:shd w:val="clear" w:color="auto" w:fill="CAEEFB"/>
          </w:tcPr>
          <w:p>
            <w:pPr>
              <w:spacing w:after="0"/>
              <w:rPr>
                <w:sz w:val="10"/>
                <w:szCs w:val="10"/>
                <w:color w:val="auto"/>
              </w:rPr>
            </w:pPr>
          </w:p>
        </w:tc>
        <w:tc>
          <w:tcPr>
            <w:tcW w:w="900" w:type="dxa"/>
            <w:vAlign w:val="bottom"/>
            <w:vMerge w:val="restart"/>
            <w:shd w:val="clear" w:color="auto" w:fill="CAEEFB"/>
          </w:tcPr>
          <w:p>
            <w:pPr>
              <w:jc w:val="right"/>
              <w:ind w:right="408"/>
              <w:spacing w:after="0"/>
              <w:rPr>
                <w:sz w:val="20"/>
                <w:szCs w:val="20"/>
                <w:color w:val="auto"/>
              </w:rPr>
            </w:pPr>
            <w:r>
              <w:rPr>
                <w:rFonts w:ascii="Times New Roman" w:cs="Times New Roman" w:eastAsia="Times New Roman" w:hAnsi="Times New Roman"/>
                <w:sz w:val="14"/>
                <w:szCs w:val="14"/>
                <w:color w:val="auto"/>
              </w:rPr>
              <w:t>SOFR</w:t>
            </w: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(11)</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jc w:val="center"/>
              <w:spacing w:after="0" w:line="149" w:lineRule="exact"/>
              <w:rPr>
                <w:sz w:val="20"/>
                <w:szCs w:val="20"/>
                <w:color w:val="auto"/>
              </w:rPr>
            </w:pPr>
            <w:r>
              <w:rPr>
                <w:rFonts w:ascii="Times New Roman" w:cs="Times New Roman" w:eastAsia="Times New Roman" w:hAnsi="Times New Roman"/>
                <w:sz w:val="14"/>
                <w:szCs w:val="14"/>
                <w:color w:val="auto"/>
              </w:rPr>
              <w:t>cash /</w:t>
            </w:r>
          </w:p>
        </w:tc>
        <w:tc>
          <w:tcPr>
            <w:tcW w:w="100" w:type="dxa"/>
            <w:vAlign w:val="bottom"/>
            <w:shd w:val="clear" w:color="auto" w:fill="CAEEFB"/>
          </w:tcPr>
          <w:p>
            <w:pPr>
              <w:spacing w:after="0"/>
              <w:rPr>
                <w:sz w:val="12"/>
                <w:szCs w:val="12"/>
                <w:color w:val="auto"/>
              </w:rPr>
            </w:pPr>
          </w:p>
        </w:tc>
        <w:tc>
          <w:tcPr>
            <w:tcW w:w="900" w:type="dxa"/>
            <w:vAlign w:val="bottom"/>
            <w:vMerge w:val="continue"/>
            <w:shd w:val="clear" w:color="auto" w:fill="CAEEFB"/>
          </w:tcPr>
          <w:p>
            <w:pPr>
              <w:spacing w:after="0"/>
              <w:rPr>
                <w:sz w:val="12"/>
                <w:szCs w:val="12"/>
                <w:color w:val="auto"/>
              </w:rPr>
            </w:pP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8/31/2021</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9/30/2027</w:t>
            </w:r>
          </w:p>
        </w:tc>
        <w:tc>
          <w:tcPr>
            <w:tcW w:w="76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2,384</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2,362</w:t>
            </w:r>
          </w:p>
        </w:tc>
        <w:tc>
          <w:tcPr>
            <w:tcW w:w="880" w:type="dxa"/>
            <w:vAlign w:val="bottom"/>
            <w:gridSpan w:val="2"/>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2,299</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1.50% 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+7.75%</w:t>
            </w: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80" w:type="dxa"/>
            <w:vAlign w:val="bottom"/>
            <w:gridSpan w:val="2"/>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rPr>
              <w:t>12.10%</w:t>
            </w:r>
          </w:p>
        </w:tc>
        <w:tc>
          <w:tcPr>
            <w:tcW w:w="100" w:type="dxa"/>
            <w:vAlign w:val="bottom"/>
          </w:tcPr>
          <w:p>
            <w:pPr>
              <w:spacing w:after="0"/>
              <w:rPr>
                <w:sz w:val="10"/>
                <w:szCs w:val="10"/>
                <w:color w:val="auto"/>
              </w:rPr>
            </w:pPr>
          </w:p>
        </w:tc>
        <w:tc>
          <w:tcPr>
            <w:tcW w:w="9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SOFR</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(11)</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cash /</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8/31/2021</w:t>
            </w:r>
          </w:p>
        </w:tc>
        <w:tc>
          <w:tcPr>
            <w:tcW w:w="7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9/30/2027</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720</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714</w:t>
            </w:r>
          </w:p>
        </w:tc>
        <w:tc>
          <w:tcPr>
            <w:tcW w:w="8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694</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 PIK</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+7.75%</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Warrants (warrants to purchase up to</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8/31/2021</w:t>
            </w:r>
          </w:p>
        </w:tc>
        <w:tc>
          <w:tcPr>
            <w:tcW w:w="780" w:type="dxa"/>
            <w:vAlign w:val="bottom"/>
            <w:gridSpan w:val="2"/>
            <w:shd w:val="clear" w:color="auto" w:fill="CAEEFB"/>
          </w:tcPr>
          <w:p>
            <w:pPr>
              <w:jc w:val="right"/>
              <w:ind w:right="8"/>
              <w:spacing w:after="0" w:line="126" w:lineRule="exact"/>
              <w:rPr>
                <w:sz w:val="20"/>
                <w:szCs w:val="20"/>
                <w:color w:val="auto"/>
              </w:rPr>
            </w:pPr>
            <w:r>
              <w:rPr>
                <w:rFonts w:ascii="Times New Roman" w:cs="Times New Roman" w:eastAsia="Times New Roman" w:hAnsi="Times New Roman"/>
                <w:sz w:val="14"/>
                <w:szCs w:val="14"/>
                <w:color w:val="auto"/>
              </w:rPr>
              <w:t>8/10/2030</w:t>
            </w: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vMerge w:val="restart"/>
            <w:shd w:val="clear" w:color="auto" w:fill="CAEEFB"/>
          </w:tcPr>
          <w:p>
            <w:pPr>
              <w:spacing w:after="0"/>
              <w:rPr>
                <w:sz w:val="10"/>
                <w:szCs w:val="10"/>
                <w:color w:val="auto"/>
              </w:rPr>
            </w:pPr>
          </w:p>
        </w:tc>
        <w:tc>
          <w:tcPr>
            <w:tcW w:w="78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vMerge w:val="restart"/>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AEEFB"/>
            </w:tcBorders>
            <w:shd w:val="clear" w:color="auto" w:fill="CAEEFB"/>
          </w:tcPr>
          <w:p>
            <w:pPr>
              <w:spacing w:after="0" w:line="158" w:lineRule="exact"/>
              <w:rPr>
                <w:sz w:val="20"/>
                <w:szCs w:val="20"/>
                <w:color w:val="auto"/>
              </w:rPr>
            </w:pPr>
            <w:r>
              <w:rPr>
                <w:rFonts w:ascii="Times New Roman" w:cs="Times New Roman" w:eastAsia="Times New Roman" w:hAnsi="Times New Roman"/>
                <w:sz w:val="14"/>
                <w:szCs w:val="14"/>
                <w:color w:val="auto"/>
              </w:rPr>
              <w:t>$73,000 in common stock) (10)</w:t>
            </w:r>
          </w:p>
        </w:tc>
        <w:tc>
          <w:tcPr>
            <w:tcW w:w="120" w:type="dxa"/>
            <w:vAlign w:val="bottom"/>
            <w:tcBorders>
              <w:bottom w:val="single" w:sz="8" w:color="CAEEFB"/>
            </w:tcBorders>
            <w:shd w:val="clear" w:color="auto" w:fill="CAEEFB"/>
          </w:tcPr>
          <w:p>
            <w:pPr>
              <w:spacing w:after="0"/>
              <w:rPr>
                <w:sz w:val="13"/>
                <w:szCs w:val="13"/>
                <w:color w:val="auto"/>
              </w:rPr>
            </w:pPr>
          </w:p>
        </w:tc>
        <w:tc>
          <w:tcPr>
            <w:tcW w:w="178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740" w:type="dxa"/>
            <w:vAlign w:val="bottom"/>
            <w:tcBorders>
              <w:bottom w:val="single" w:sz="8" w:color="CAEEFB"/>
            </w:tcBorders>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900" w:type="dxa"/>
            <w:vAlign w:val="bottom"/>
            <w:tcBorders>
              <w:bottom w:val="single" w:sz="8" w:color="CAEEFB"/>
            </w:tcBorders>
            <w:shd w:val="clear" w:color="auto" w:fill="CAEEFB"/>
          </w:tcPr>
          <w:p>
            <w:pPr>
              <w:spacing w:after="0"/>
              <w:rPr>
                <w:sz w:val="13"/>
                <w:szCs w:val="13"/>
                <w:color w:val="auto"/>
              </w:rPr>
            </w:pPr>
          </w:p>
        </w:tc>
        <w:tc>
          <w:tcPr>
            <w:tcW w:w="760" w:type="dxa"/>
            <w:vAlign w:val="bottom"/>
            <w:tcBorders>
              <w:bottom w:val="single" w:sz="8" w:color="CAEEFB"/>
            </w:tcBorders>
            <w:gridSpan w:val="2"/>
            <w:vMerge w:val="continue"/>
            <w:shd w:val="clear" w:color="auto" w:fill="CAEEFB"/>
          </w:tcPr>
          <w:p>
            <w:pPr>
              <w:spacing w:after="0"/>
              <w:rPr>
                <w:sz w:val="13"/>
                <w:szCs w:val="13"/>
                <w:color w:val="auto"/>
              </w:rPr>
            </w:pPr>
          </w:p>
        </w:tc>
        <w:tc>
          <w:tcPr>
            <w:tcW w:w="780" w:type="dxa"/>
            <w:vAlign w:val="bottom"/>
            <w:tcBorders>
              <w:bottom w:val="single" w:sz="8" w:color="CAEEFB"/>
            </w:tcBorders>
            <w:gridSpan w:val="2"/>
            <w:shd w:val="clear" w:color="auto" w:fill="CAEEFB"/>
          </w:tcPr>
          <w:p>
            <w:pPr>
              <w:jc w:val="center"/>
              <w:ind w:left="28"/>
              <w:spacing w:after="0" w:line="158"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AEEFB"/>
            </w:tcBorders>
            <w:shd w:val="clear" w:color="auto" w:fill="CAEEFB"/>
          </w:tcPr>
          <w:p>
            <w:pPr>
              <w:spacing w:after="0"/>
              <w:rPr>
                <w:sz w:val="13"/>
                <w:szCs w:val="13"/>
                <w:color w:val="auto"/>
              </w:rPr>
            </w:pPr>
          </w:p>
        </w:tc>
        <w:tc>
          <w:tcPr>
            <w:tcW w:w="660" w:type="dxa"/>
            <w:vAlign w:val="bottom"/>
            <w:tcBorders>
              <w:bottom w:val="single" w:sz="8" w:color="auto"/>
            </w:tcBorders>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8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3,104</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3,276</w:t>
            </w:r>
          </w:p>
        </w:tc>
        <w:tc>
          <w:tcPr>
            <w:tcW w:w="8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3,061</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RPLF Holdings, LLC (10) (13)</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Software Publishers</w:t>
            </w: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Equity (345,339 Class A units)</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1/17/2018</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1,462</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Sentry Centers Holdings, LLC (10) (13)</w:t>
            </w:r>
          </w:p>
        </w:tc>
        <w:tc>
          <w:tcPr>
            <w:tcW w:w="1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Convention and Trade Show</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Organizers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Preferred Equity (1,603 Series B units)</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760" w:type="dxa"/>
            <w:vAlign w:val="bottom"/>
            <w:gridSpan w:val="2"/>
            <w:shd w:val="clear" w:color="auto" w:fill="CAEEFB"/>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9/4/2020</w:t>
            </w: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880" w:type="dxa"/>
            <w:vAlign w:val="bottom"/>
            <w:gridSpan w:val="2"/>
            <w:shd w:val="clear" w:color="auto" w:fill="CAEEFB"/>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880" w:type="dxa"/>
            <w:vAlign w:val="bottom"/>
            <w:gridSpan w:val="2"/>
            <w:shd w:val="clear" w:color="auto" w:fill="CAEEFB"/>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-4345305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-4345305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-4345305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-2553970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-2553970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-2553970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-856615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-856615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-856615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00" w:type="dxa"/>
            <w:vAlign w:val="bottom"/>
          </w:tcPr>
          <w:p>
            <w:pPr>
              <w:spacing w:after="0"/>
              <w:rPr>
                <w:sz w:val="13"/>
                <w:szCs w:val="13"/>
                <w:color w:val="auto"/>
              </w:rPr>
            </w:pPr>
          </w:p>
        </w:tc>
        <w:tc>
          <w:tcPr>
            <w:tcW w:w="78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Amortize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Spread Above</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Index (2)</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New Single-Family Housing</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Signal Parent, Inc. (14) (15)</w:t>
            </w:r>
          </w:p>
        </w:tc>
        <w:tc>
          <w:tcPr>
            <w:tcW w:w="1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Construction (except For-Sale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Builders)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7.44%</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3/25/2021</w:t>
            </w:r>
          </w:p>
        </w:tc>
        <w:tc>
          <w:tcPr>
            <w:tcW w:w="78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4/3/2028</w:t>
            </w: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1,513</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1,096</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+3.50%</w:t>
            </w: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SS Acquisition, LLC (19)</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Sports and Recreation</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Instruction</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9.42%</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12/20/202</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12/20/202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16,795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16,728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16,828</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9.42%</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12/20/202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12/20/202</w:t>
            </w: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vMerge w:val="restart"/>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AEEFB"/>
            </w:tcBorders>
            <w:vMerge w:val="continue"/>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1780" w:type="dxa"/>
            <w:vAlign w:val="bottom"/>
            <w:tcBorders>
              <w:bottom w:val="single" w:sz="8" w:color="CAEEFB"/>
            </w:tcBorders>
            <w:shd w:val="clear" w:color="auto" w:fill="CAEEFB"/>
          </w:tcPr>
          <w:p>
            <w:pPr>
              <w:spacing w:after="0"/>
              <w:rPr>
                <w:sz w:val="13"/>
                <w:szCs w:val="13"/>
                <w:color w:val="auto"/>
              </w:rPr>
            </w:pPr>
          </w:p>
        </w:tc>
        <w:tc>
          <w:tcPr>
            <w:tcW w:w="86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+5.75%</w:t>
            </w:r>
          </w:p>
        </w:tc>
        <w:tc>
          <w:tcPr>
            <w:tcW w:w="760" w:type="dxa"/>
            <w:vAlign w:val="bottom"/>
            <w:tcBorders>
              <w:bottom w:val="single" w:sz="8" w:color="CAEEFB"/>
            </w:tcBorders>
            <w:gridSpan w:val="2"/>
            <w:shd w:val="clear" w:color="auto" w:fill="CAEEFB"/>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4</w:t>
            </w:r>
          </w:p>
        </w:tc>
        <w:tc>
          <w:tcPr>
            <w:tcW w:w="780" w:type="dxa"/>
            <w:vAlign w:val="bottom"/>
            <w:tcBorders>
              <w:bottom w:val="single" w:sz="8" w:color="CAEEFB"/>
            </w:tcBorders>
            <w:gridSpan w:val="2"/>
            <w:shd w:val="clear" w:color="auto" w:fill="CAEEFB"/>
          </w:tcPr>
          <w:p>
            <w:pPr>
              <w:jc w:val="center"/>
              <w:ind w:left="28"/>
              <w:spacing w:after="0" w:line="158"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AEEFB"/>
            </w:tcBorders>
            <w:shd w:val="clear" w:color="auto" w:fill="CAEEFB"/>
          </w:tcPr>
          <w:p>
            <w:pPr>
              <w:spacing w:after="0"/>
              <w:rPr>
                <w:sz w:val="13"/>
                <w:szCs w:val="13"/>
                <w:color w:val="auto"/>
              </w:rPr>
            </w:pPr>
          </w:p>
        </w:tc>
        <w:tc>
          <w:tcPr>
            <w:tcW w:w="100" w:type="dxa"/>
            <w:vAlign w:val="bottom"/>
            <w:tcBorders>
              <w:bottom w:val="single" w:sz="8" w:color="auto"/>
            </w:tcBorders>
            <w:shd w:val="clear" w:color="auto" w:fill="CAEEFB"/>
          </w:tcPr>
          <w:p>
            <w:pPr>
              <w:spacing w:after="0"/>
              <w:rPr>
                <w:sz w:val="13"/>
                <w:szCs w:val="13"/>
                <w:color w:val="auto"/>
              </w:rPr>
            </w:pPr>
          </w:p>
        </w:tc>
        <w:tc>
          <w:tcPr>
            <w:tcW w:w="5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40" w:type="dxa"/>
            <w:vAlign w:val="bottom"/>
            <w:tcBorders>
              <w:bottom w:val="single" w:sz="8" w:color="auto"/>
            </w:tcBorders>
            <w:shd w:val="clear" w:color="auto" w:fill="CAEEFB"/>
          </w:tcPr>
          <w:p>
            <w:pPr>
              <w:spacing w:after="0"/>
              <w:rPr>
                <w:sz w:val="13"/>
                <w:szCs w:val="13"/>
                <w:color w:val="auto"/>
              </w:rPr>
            </w:pPr>
          </w:p>
        </w:tc>
        <w:tc>
          <w:tcPr>
            <w:tcW w:w="64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40" w:type="dxa"/>
            <w:vAlign w:val="bottom"/>
            <w:tcBorders>
              <w:bottom w:val="single" w:sz="8" w:color="auto"/>
            </w:tcBorders>
            <w:shd w:val="clear" w:color="auto" w:fill="CAEEFB"/>
          </w:tcPr>
          <w:p>
            <w:pPr>
              <w:spacing w:after="0"/>
              <w:rPr>
                <w:sz w:val="13"/>
                <w:szCs w:val="13"/>
                <w:color w:val="auto"/>
              </w:rPr>
            </w:pPr>
          </w:p>
        </w:tc>
        <w:tc>
          <w:tcPr>
            <w:tcW w:w="64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17,295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17,221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17,328</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14.0 %</w:t>
            </w: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Staples, Inc. (14) (15)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Business to Business</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Electronic Markets</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9.60%</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5/23/2024</w:t>
            </w:r>
          </w:p>
        </w:tc>
        <w:tc>
          <w:tcPr>
            <w:tcW w:w="7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9/4/2029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2,539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2,468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2,418</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+5.75%</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TalentSmart Holdings, LLC (10) (13) (19)</w:t>
            </w:r>
          </w:p>
        </w:tc>
        <w:tc>
          <w:tcPr>
            <w:tcW w:w="1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Professional and Management</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Development Training</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Common Equity (1,595,238 Class A</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10/11/201</w:t>
            </w: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695</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71"/>
        </w:trPr>
        <w:tc>
          <w:tcPr>
            <w:tcW w:w="25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Tolemar Acquisition, Inc.</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Motorcycle, Bicycle, and</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Parts Manufacturing</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9.82% cash</w:t>
            </w:r>
          </w:p>
        </w:tc>
        <w:tc>
          <w:tcPr>
            <w:tcW w:w="100" w:type="dxa"/>
            <w:vAlign w:val="bottom"/>
          </w:tcPr>
          <w:p>
            <w:pPr>
              <w:spacing w:after="0"/>
              <w:rPr>
                <w:sz w:val="10"/>
                <w:szCs w:val="10"/>
                <w:color w:val="auto"/>
              </w:rPr>
            </w:pPr>
          </w:p>
        </w:tc>
        <w:tc>
          <w:tcPr>
            <w:tcW w:w="900" w:type="dxa"/>
            <w:vAlign w:val="bottom"/>
          </w:tcPr>
          <w:p>
            <w:pPr>
              <w:jc w:val="right"/>
              <w:ind w:right="38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10/14/202</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10/14/202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14,443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14,383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10,500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1.25% PIK</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(Revolver) (5)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9.82%</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10/14/202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10/14/202</w:t>
            </w: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vMerge w:val="restart"/>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AEEFB"/>
            </w:tcBorders>
            <w:vMerge w:val="continue"/>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1780" w:type="dxa"/>
            <w:vAlign w:val="bottom"/>
            <w:tcBorders>
              <w:bottom w:val="single" w:sz="8" w:color="CAEEFB"/>
            </w:tcBorders>
            <w:shd w:val="clear" w:color="auto" w:fill="CAEEFB"/>
          </w:tcPr>
          <w:p>
            <w:pPr>
              <w:spacing w:after="0"/>
              <w:rPr>
                <w:sz w:val="13"/>
                <w:szCs w:val="13"/>
                <w:color w:val="auto"/>
              </w:rPr>
            </w:pPr>
          </w:p>
        </w:tc>
        <w:tc>
          <w:tcPr>
            <w:tcW w:w="860" w:type="dxa"/>
            <w:vAlign w:val="bottom"/>
            <w:tcBorders>
              <w:bottom w:val="single" w:sz="8" w:color="CAEEFB"/>
            </w:tcBorders>
            <w:gridSpan w:val="2"/>
            <w:vMerge w:val="continue"/>
            <w:shd w:val="clear" w:color="auto" w:fill="CAEEFB"/>
          </w:tcPr>
          <w:p>
            <w:pPr>
              <w:spacing w:after="0"/>
              <w:rPr>
                <w:sz w:val="13"/>
                <w:szCs w:val="13"/>
                <w:color w:val="auto"/>
              </w:rPr>
            </w:pPr>
          </w:p>
        </w:tc>
        <w:tc>
          <w:tcPr>
            <w:tcW w:w="1000" w:type="dxa"/>
            <w:vAlign w:val="bottom"/>
            <w:tcBorders>
              <w:bottom w:val="single" w:sz="8" w:color="CAEEFB"/>
            </w:tcBorders>
            <w:gridSpan w:val="2"/>
            <w:shd w:val="clear" w:color="auto" w:fill="CAEEFB"/>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+6.00%</w:t>
            </w:r>
          </w:p>
        </w:tc>
        <w:tc>
          <w:tcPr>
            <w:tcW w:w="760" w:type="dxa"/>
            <w:vAlign w:val="bottom"/>
            <w:tcBorders>
              <w:bottom w:val="single" w:sz="8" w:color="CAEEFB"/>
            </w:tcBorders>
            <w:gridSpan w:val="2"/>
            <w:shd w:val="clear" w:color="auto" w:fill="CAEEFB"/>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1</w:t>
            </w:r>
          </w:p>
        </w:tc>
        <w:tc>
          <w:tcPr>
            <w:tcW w:w="780" w:type="dxa"/>
            <w:vAlign w:val="bottom"/>
            <w:tcBorders>
              <w:bottom w:val="single" w:sz="8" w:color="CAEEFB"/>
            </w:tcBorders>
            <w:gridSpan w:val="2"/>
            <w:shd w:val="clear" w:color="auto" w:fill="CAEEFB"/>
          </w:tcPr>
          <w:p>
            <w:pPr>
              <w:jc w:val="center"/>
              <w:ind w:left="28"/>
              <w:spacing w:after="0" w:line="158"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AEEFB"/>
            </w:tcBorders>
            <w:shd w:val="clear" w:color="auto" w:fill="CAEEFB"/>
          </w:tcPr>
          <w:p>
            <w:pPr>
              <w:spacing w:after="0"/>
              <w:rPr>
                <w:sz w:val="13"/>
                <w:szCs w:val="13"/>
                <w:color w:val="auto"/>
              </w:rPr>
            </w:pPr>
          </w:p>
        </w:tc>
        <w:tc>
          <w:tcPr>
            <w:tcW w:w="100" w:type="dxa"/>
            <w:vAlign w:val="bottom"/>
            <w:tcBorders>
              <w:bottom w:val="single" w:sz="8" w:color="auto"/>
            </w:tcBorders>
            <w:shd w:val="clear" w:color="auto" w:fill="CAEEFB"/>
          </w:tcPr>
          <w:p>
            <w:pPr>
              <w:spacing w:after="0"/>
              <w:rPr>
                <w:sz w:val="13"/>
                <w:szCs w:val="13"/>
                <w:color w:val="auto"/>
              </w:rPr>
            </w:pPr>
          </w:p>
        </w:tc>
        <w:tc>
          <w:tcPr>
            <w:tcW w:w="56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40" w:type="dxa"/>
            <w:vAlign w:val="bottom"/>
            <w:tcBorders>
              <w:bottom w:val="single" w:sz="8" w:color="auto"/>
            </w:tcBorders>
            <w:shd w:val="clear" w:color="auto" w:fill="CAEEFB"/>
          </w:tcPr>
          <w:p>
            <w:pPr>
              <w:spacing w:after="0"/>
              <w:rPr>
                <w:sz w:val="13"/>
                <w:szCs w:val="13"/>
                <w:color w:val="auto"/>
              </w:rPr>
            </w:pPr>
          </w:p>
        </w:tc>
        <w:tc>
          <w:tcPr>
            <w:tcW w:w="64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40" w:type="dxa"/>
            <w:vAlign w:val="bottom"/>
            <w:tcBorders>
              <w:bottom w:val="single" w:sz="8" w:color="auto"/>
            </w:tcBorders>
            <w:shd w:val="clear" w:color="auto" w:fill="CAEEFB"/>
          </w:tcPr>
          <w:p>
            <w:pPr>
              <w:spacing w:after="0"/>
              <w:rPr>
                <w:sz w:val="13"/>
                <w:szCs w:val="13"/>
                <w:color w:val="auto"/>
              </w:rPr>
            </w:pPr>
          </w:p>
        </w:tc>
        <w:tc>
          <w:tcPr>
            <w:tcW w:w="64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15,009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14,946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10,645</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8.6 %</w:t>
            </w: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United Biologics Holdings, LLC (10) (13)</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Medical Laboratories</w:t>
            </w: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Equity (151,786 units)</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4/16/2013</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6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Wellful Inc. (F/K/A KNS Acquisition Corp.)</w:t>
            </w:r>
          </w:p>
        </w:tc>
        <w:tc>
          <w:tcPr>
            <w:tcW w:w="120" w:type="dxa"/>
            <w:vAlign w:val="bottom"/>
          </w:tcPr>
          <w:p>
            <w:pPr>
              <w:spacing w:after="0"/>
              <w:rPr>
                <w:sz w:val="10"/>
                <w:szCs w:val="10"/>
                <w:color w:val="auto"/>
              </w:rPr>
            </w:pPr>
          </w:p>
        </w:tc>
        <w:tc>
          <w:tcPr>
            <w:tcW w:w="178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Electronic Shopping and</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(11) (15)</w:t>
            </w:r>
          </w:p>
        </w:tc>
        <w:tc>
          <w:tcPr>
            <w:tcW w:w="12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Mail-Order Houses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jc w:val="center"/>
              <w:spacing w:after="0" w:line="126" w:lineRule="exact"/>
              <w:rPr>
                <w:sz w:val="20"/>
                <w:szCs w:val="20"/>
                <w:color w:val="auto"/>
              </w:rPr>
            </w:pPr>
            <w:r>
              <w:rPr>
                <w:rFonts w:ascii="Times New Roman" w:cs="Times New Roman" w:eastAsia="Times New Roman" w:hAnsi="Times New Roman"/>
                <w:sz w:val="14"/>
                <w:szCs w:val="14"/>
                <w:color w:val="auto"/>
              </w:rPr>
              <w:t>8.33% cash</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4/16/2021</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10/19/203</w:t>
            </w: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4,361</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4,361</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3,738</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jc w:val="center"/>
              <w:spacing w:after="0"/>
              <w:rPr>
                <w:sz w:val="20"/>
                <w:szCs w:val="20"/>
                <w:color w:val="auto"/>
              </w:rPr>
            </w:pPr>
            <w:r>
              <w:rPr>
                <w:rFonts w:ascii="Times New Roman" w:cs="Times New Roman" w:eastAsia="Times New Roman" w:hAnsi="Times New Roman"/>
                <w:sz w:val="14"/>
                <w:szCs w:val="14"/>
                <w:color w:val="auto"/>
              </w:rPr>
              <w:t>/ 1.75% PIK</w:t>
            </w: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+6.25%</w:t>
            </w: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6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shd w:val="clear" w:color="auto" w:fill="CAEEFB"/>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216,07</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b w:val="1"/>
                <w:bCs w:val="1"/>
                <w:color w:val="auto"/>
              </w:rPr>
              <w:t>Total Debt and Equity Investments</w:t>
            </w: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200" w:type="dxa"/>
            <w:vAlign w:val="bottom"/>
            <w:gridSpan w:val="2"/>
            <w:shd w:val="clear" w:color="auto" w:fill="CAEEFB"/>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223,115</w:t>
            </w:r>
          </w:p>
        </w:tc>
        <w:tc>
          <w:tcPr>
            <w:tcW w:w="24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180,465</w:t>
            </w:r>
          </w:p>
        </w:tc>
        <w:tc>
          <w:tcPr>
            <w:tcW w:w="8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146.7 %</w:t>
            </w:r>
          </w:p>
        </w:tc>
        <w:tc>
          <w:tcPr>
            <w:tcW w:w="0" w:type="dxa"/>
            <w:vAlign w:val="bottom"/>
          </w:tcPr>
          <w:p>
            <w:pPr>
              <w:spacing w:after="0"/>
              <w:rPr>
                <w:sz w:val="1"/>
                <w:szCs w:val="1"/>
                <w:color w:val="auto"/>
              </w:rPr>
            </w:pPr>
          </w:p>
        </w:tc>
      </w:tr>
      <w:tr>
        <w:trPr>
          <w:trHeight w:val="142"/>
        </w:trPr>
        <w:tc>
          <w:tcPr>
            <w:tcW w:w="2560" w:type="dxa"/>
            <w:vAlign w:val="bottom"/>
            <w:tcBorders>
              <w:top w:val="single" w:sz="8" w:color="CAEEFB"/>
            </w:tcBorders>
          </w:tcPr>
          <w:p>
            <w:pPr>
              <w:spacing w:after="0"/>
              <w:rPr>
                <w:sz w:val="12"/>
                <w:szCs w:val="12"/>
                <w:color w:val="auto"/>
              </w:rPr>
            </w:pPr>
          </w:p>
        </w:tc>
        <w:tc>
          <w:tcPr>
            <w:tcW w:w="120" w:type="dxa"/>
            <w:vAlign w:val="bottom"/>
            <w:tcBorders>
              <w:top w:val="single" w:sz="8" w:color="CAEEFB"/>
            </w:tcBorders>
          </w:tcPr>
          <w:p>
            <w:pPr>
              <w:spacing w:after="0"/>
              <w:rPr>
                <w:sz w:val="12"/>
                <w:szCs w:val="12"/>
                <w:color w:val="auto"/>
              </w:rPr>
            </w:pPr>
          </w:p>
        </w:tc>
        <w:tc>
          <w:tcPr>
            <w:tcW w:w="1780" w:type="dxa"/>
            <w:vAlign w:val="bottom"/>
            <w:tcBorders>
              <w:top w:val="single" w:sz="8" w:color="CAEEFB"/>
            </w:tcBorders>
          </w:tcPr>
          <w:p>
            <w:pPr>
              <w:spacing w:after="0"/>
              <w:rPr>
                <w:sz w:val="12"/>
                <w:szCs w:val="12"/>
                <w:color w:val="auto"/>
              </w:rPr>
            </w:pPr>
          </w:p>
        </w:tc>
        <w:tc>
          <w:tcPr>
            <w:tcW w:w="120" w:type="dxa"/>
            <w:vAlign w:val="bottom"/>
            <w:tcBorders>
              <w:top w:val="single" w:sz="8" w:color="CAEEFB"/>
            </w:tcBorders>
          </w:tcPr>
          <w:p>
            <w:pPr>
              <w:spacing w:after="0"/>
              <w:rPr>
                <w:sz w:val="12"/>
                <w:szCs w:val="12"/>
                <w:color w:val="auto"/>
              </w:rPr>
            </w:pPr>
          </w:p>
        </w:tc>
        <w:tc>
          <w:tcPr>
            <w:tcW w:w="740" w:type="dxa"/>
            <w:vAlign w:val="bottom"/>
            <w:tcBorders>
              <w:top w:val="single" w:sz="8" w:color="CAEEFB"/>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900" w:type="dxa"/>
            <w:vAlign w:val="bottom"/>
            <w:tcBorders>
              <w:top w:val="single" w:sz="8" w:color="CAEEFB"/>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660" w:type="dxa"/>
            <w:vAlign w:val="bottom"/>
            <w:tcBorders>
              <w:top w:val="single" w:sz="8" w:color="CAEEFB"/>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680" w:type="dxa"/>
            <w:vAlign w:val="bottom"/>
            <w:tcBorders>
              <w:top w:val="single" w:sz="8" w:color="CAEEFB"/>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Structured Finance Securities (8)</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Apex Credit CLO 2020 Ltd. (9) (16)</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9.87%</w:t>
            </w:r>
          </w:p>
        </w:tc>
        <w:tc>
          <w:tcPr>
            <w:tcW w:w="100" w:type="dxa"/>
            <w:vAlign w:val="bottom"/>
            <w:shd w:val="clear" w:color="auto" w:fill="CAEEFB"/>
          </w:tcPr>
          <w:p>
            <w:pPr>
              <w:spacing w:after="0"/>
              <w:rPr>
                <w:sz w:val="10"/>
                <w:szCs w:val="10"/>
                <w:color w:val="auto"/>
              </w:rPr>
            </w:pPr>
          </w:p>
        </w:tc>
        <w:tc>
          <w:tcPr>
            <w:tcW w:w="90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11/16/202</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4/20/2035</w:t>
            </w:r>
          </w:p>
        </w:tc>
        <w:tc>
          <w:tcPr>
            <w:tcW w:w="200" w:type="dxa"/>
            <w:vAlign w:val="bottom"/>
            <w:gridSpan w:val="2"/>
            <w:vMerge w:val="restart"/>
            <w:shd w:val="clear" w:color="auto" w:fill="CAEEFB"/>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11,080</w:t>
            </w:r>
          </w:p>
        </w:tc>
        <w:tc>
          <w:tcPr>
            <w:tcW w:w="24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9,173</w:t>
            </w:r>
          </w:p>
        </w:tc>
        <w:tc>
          <w:tcPr>
            <w:tcW w:w="24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5,653</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vMerge w:val="continue"/>
            <w:shd w:val="clear" w:color="auto" w:fill="CAEEFB"/>
          </w:tcPr>
          <w:p>
            <w:pPr>
              <w:spacing w:after="0"/>
              <w:rPr>
                <w:sz w:val="14"/>
                <w:szCs w:val="14"/>
                <w:color w:val="auto"/>
              </w:rPr>
            </w:pP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gridSpan w:val="2"/>
            <w:vMerge w:val="continue"/>
            <w:shd w:val="clear" w:color="auto" w:fill="CAEEFB"/>
          </w:tcPr>
          <w:p>
            <w:pPr>
              <w:spacing w:after="0"/>
              <w:rPr>
                <w:sz w:val="14"/>
                <w:szCs w:val="14"/>
                <w:color w:val="auto"/>
              </w:rPr>
            </w:pPr>
          </w:p>
        </w:tc>
        <w:tc>
          <w:tcPr>
            <w:tcW w:w="200" w:type="dxa"/>
            <w:vAlign w:val="bottom"/>
            <w:gridSpan w:val="2"/>
            <w:vMerge w:val="continue"/>
            <w:shd w:val="clear" w:color="auto" w:fill="CAEEFB"/>
          </w:tcPr>
          <w:p>
            <w:pPr>
              <w:spacing w:after="0"/>
              <w:rPr>
                <w:sz w:val="14"/>
                <w:szCs w:val="14"/>
                <w:color w:val="auto"/>
              </w:rPr>
            </w:pPr>
          </w:p>
        </w:tc>
        <w:tc>
          <w:tcPr>
            <w:tcW w:w="560" w:type="dxa"/>
            <w:vAlign w:val="bottom"/>
            <w:vMerge w:val="continue"/>
            <w:shd w:val="clear" w:color="auto" w:fill="CAEEFB"/>
          </w:tcPr>
          <w:p>
            <w:pPr>
              <w:spacing w:after="0"/>
              <w:rPr>
                <w:sz w:val="14"/>
                <w:szCs w:val="14"/>
                <w:color w:val="auto"/>
              </w:rPr>
            </w:pPr>
          </w:p>
        </w:tc>
        <w:tc>
          <w:tcPr>
            <w:tcW w:w="240" w:type="dxa"/>
            <w:vAlign w:val="bottom"/>
            <w:gridSpan w:val="2"/>
            <w:vMerge w:val="continue"/>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240" w:type="dxa"/>
            <w:vAlign w:val="bottom"/>
            <w:gridSpan w:val="2"/>
            <w:vMerge w:val="continue"/>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Apex Credit CLO 2021 Ltd. (9) (16)</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6.51%</w:t>
            </w:r>
          </w:p>
        </w:tc>
        <w:tc>
          <w:tcPr>
            <w:tcW w:w="100" w:type="dxa"/>
            <w:vAlign w:val="bottom"/>
          </w:tcPr>
          <w:p>
            <w:pPr>
              <w:spacing w:after="0"/>
              <w:rPr>
                <w:sz w:val="12"/>
                <w:szCs w:val="12"/>
                <w:color w:val="auto"/>
              </w:rPr>
            </w:pPr>
          </w:p>
        </w:tc>
        <w:tc>
          <w:tcPr>
            <w:tcW w:w="90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5/28/2021</w:t>
            </w:r>
          </w:p>
        </w:tc>
        <w:tc>
          <w:tcPr>
            <w:tcW w:w="78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7/18/2034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5,585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3,170</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Apex Credit CLO 2022-1 Ltd. (9) (16)</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20.68%</w:t>
            </w:r>
          </w:p>
        </w:tc>
        <w:tc>
          <w:tcPr>
            <w:tcW w:w="100" w:type="dxa"/>
            <w:vAlign w:val="bottom"/>
            <w:shd w:val="clear" w:color="auto" w:fill="CAEEFB"/>
          </w:tcPr>
          <w:p>
            <w:pPr>
              <w:spacing w:after="0"/>
              <w:rPr>
                <w:sz w:val="10"/>
                <w:szCs w:val="10"/>
                <w:color w:val="auto"/>
              </w:rPr>
            </w:pPr>
          </w:p>
        </w:tc>
        <w:tc>
          <w:tcPr>
            <w:tcW w:w="90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4/28/2022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10/22/203</w:t>
            </w: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17,074</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9,807</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7,929</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Battalion CLO XI Ltd.</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Mezzanine Debt - Class E</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4/25/2022</w:t>
            </w:r>
          </w:p>
        </w:tc>
        <w:tc>
          <w:tcPr>
            <w:tcW w:w="7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4/24/2034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5,466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+6.85%</w:t>
            </w: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-4268470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-4268470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-4268470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-2665095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-2665095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-2665095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-1610995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-1610995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-1610995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00" w:type="dxa"/>
            <w:vAlign w:val="bottom"/>
          </w:tcPr>
          <w:p>
            <w:pPr>
              <w:spacing w:after="0"/>
              <w:rPr>
                <w:sz w:val="13"/>
                <w:szCs w:val="13"/>
                <w:color w:val="auto"/>
              </w:rPr>
            </w:pPr>
          </w:p>
        </w:tc>
        <w:tc>
          <w:tcPr>
            <w:tcW w:w="78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Amortize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Spread Above</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Index (2)</w:t>
            </w: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144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Maturity   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25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BlueMountain CLO XXXV Ltd. (9) (16)</w:t>
            </w:r>
          </w:p>
        </w:tc>
        <w:tc>
          <w:tcPr>
            <w:tcW w:w="12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AEEFB"/>
          </w:tcPr>
          <w:p>
            <w:pPr>
              <w:spacing w:after="0"/>
              <w:rPr>
                <w:sz w:val="10"/>
                <w:szCs w:val="10"/>
                <w:color w:val="auto"/>
              </w:rPr>
            </w:pPr>
          </w:p>
        </w:tc>
        <w:tc>
          <w:tcPr>
            <w:tcW w:w="90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10/30/202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10/22/203</w:t>
            </w: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7,800</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5,954</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4,644</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vMerge w:val="continue"/>
            <w:shd w:val="clear" w:color="auto" w:fill="CAEEFB"/>
          </w:tcPr>
          <w:p>
            <w:pPr>
              <w:spacing w:after="0"/>
              <w:rPr>
                <w:sz w:val="14"/>
                <w:szCs w:val="14"/>
                <w:color w:val="auto"/>
              </w:rPr>
            </w:pP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60" w:type="dxa"/>
            <w:vAlign w:val="bottom"/>
            <w:shd w:val="clear" w:color="auto" w:fill="CAEEFB"/>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Brightwood Capital MM CLO 2023-1, Ltd.</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5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(9) (16)</w:t>
            </w:r>
          </w:p>
        </w:tc>
        <w:tc>
          <w:tcPr>
            <w:tcW w:w="120" w:type="dxa"/>
            <w:vAlign w:val="bottom"/>
            <w:shd w:val="clear" w:color="auto" w:fill="CAEEFB"/>
          </w:tcPr>
          <w:p>
            <w:pPr>
              <w:spacing w:after="0"/>
              <w:rPr>
                <w:sz w:val="15"/>
                <w:szCs w:val="15"/>
                <w:color w:val="auto"/>
              </w:rPr>
            </w:pPr>
          </w:p>
        </w:tc>
        <w:tc>
          <w:tcPr>
            <w:tcW w:w="178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74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90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5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140" w:type="dxa"/>
            <w:vAlign w:val="bottom"/>
            <w:shd w:val="clear" w:color="auto" w:fill="CAEEFB"/>
          </w:tcPr>
          <w:p>
            <w:pPr>
              <w:spacing w:after="0"/>
              <w:rPr>
                <w:sz w:val="15"/>
                <w:szCs w:val="15"/>
                <w:color w:val="auto"/>
              </w:rPr>
            </w:pPr>
          </w:p>
        </w:tc>
        <w:tc>
          <w:tcPr>
            <w:tcW w:w="64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140" w:type="dxa"/>
            <w:vAlign w:val="bottom"/>
            <w:shd w:val="clear" w:color="auto" w:fill="CAEEFB"/>
          </w:tcPr>
          <w:p>
            <w:pPr>
              <w:spacing w:after="0"/>
              <w:rPr>
                <w:sz w:val="15"/>
                <w:szCs w:val="15"/>
                <w:color w:val="auto"/>
              </w:rPr>
            </w:pPr>
          </w:p>
        </w:tc>
        <w:tc>
          <w:tcPr>
            <w:tcW w:w="64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76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24.50%</w:t>
            </w:r>
          </w:p>
        </w:tc>
        <w:tc>
          <w:tcPr>
            <w:tcW w:w="100" w:type="dxa"/>
            <w:vAlign w:val="bottom"/>
          </w:tcPr>
          <w:p>
            <w:pPr>
              <w:spacing w:after="0"/>
              <w:rPr>
                <w:sz w:val="10"/>
                <w:szCs w:val="10"/>
                <w:color w:val="auto"/>
              </w:rPr>
            </w:pPr>
          </w:p>
        </w:tc>
        <w:tc>
          <w:tcPr>
            <w:tcW w:w="9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9/28/2023</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10/15/203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5,494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4,273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4,493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Canyon CLO 2019-1, Ltd. (9) (16)</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860" w:type="dxa"/>
            <w:vAlign w:val="bottom"/>
            <w:gridSpan w:val="2"/>
            <w:shd w:val="clear" w:color="auto" w:fill="CAEEFB"/>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21.30%</w:t>
            </w: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shd w:val="clear" w:color="auto" w:fill="CAEEFB"/>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8/22/2024</w:t>
            </w:r>
          </w:p>
        </w:tc>
        <w:tc>
          <w:tcPr>
            <w:tcW w:w="780" w:type="dxa"/>
            <w:vAlign w:val="bottom"/>
            <w:gridSpan w:val="2"/>
            <w:shd w:val="clear" w:color="auto" w:fill="CAEEFB"/>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7/15/2037</w:t>
            </w: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18,453</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9,581</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8,539</w:t>
            </w:r>
          </w:p>
        </w:tc>
        <w:tc>
          <w:tcPr>
            <w:tcW w:w="860" w:type="dxa"/>
            <w:vAlign w:val="bottom"/>
            <w:gridSpan w:val="2"/>
            <w:shd w:val="clear" w:color="auto" w:fill="CAEEFB"/>
          </w:tcPr>
          <w:p>
            <w:pPr>
              <w:jc w:val="right"/>
              <w:spacing w:after="0" w:line="149" w:lineRule="exact"/>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CBAMR 2017-1, Ltd. (9) (16)</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21.02%</w:t>
            </w:r>
          </w:p>
        </w:tc>
        <w:tc>
          <w:tcPr>
            <w:tcW w:w="100" w:type="dxa"/>
            <w:vAlign w:val="bottom"/>
          </w:tcPr>
          <w:p>
            <w:pPr>
              <w:spacing w:after="0"/>
              <w:rPr>
                <w:sz w:val="12"/>
                <w:szCs w:val="12"/>
                <w:color w:val="auto"/>
              </w:rPr>
            </w:pPr>
          </w:p>
        </w:tc>
        <w:tc>
          <w:tcPr>
            <w:tcW w:w="90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8/12/2025</w:t>
            </w:r>
          </w:p>
        </w:tc>
        <w:tc>
          <w:tcPr>
            <w:tcW w:w="78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1/20/2038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1,647</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ICG US CLO 2021-3, Ltd. (9) (16)</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26.57%</w:t>
            </w:r>
          </w:p>
        </w:tc>
        <w:tc>
          <w:tcPr>
            <w:tcW w:w="100" w:type="dxa"/>
            <w:vAlign w:val="bottom"/>
            <w:shd w:val="clear" w:color="auto" w:fill="CAEEFB"/>
          </w:tcPr>
          <w:p>
            <w:pPr>
              <w:spacing w:after="0"/>
              <w:rPr>
                <w:sz w:val="10"/>
                <w:szCs w:val="10"/>
                <w:color w:val="auto"/>
              </w:rPr>
            </w:pPr>
          </w:p>
        </w:tc>
        <w:tc>
          <w:tcPr>
            <w:tcW w:w="90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8/8/2024</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10/20/203</w:t>
            </w: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16,750</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7,942</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7,289</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vMerge w:val="continue"/>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LCM 42 Ltd. (9) (16)</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18.54%</w:t>
            </w:r>
          </w:p>
        </w:tc>
        <w:tc>
          <w:tcPr>
            <w:tcW w:w="100" w:type="dxa"/>
            <w:vAlign w:val="bottom"/>
          </w:tcPr>
          <w:p>
            <w:pPr>
              <w:spacing w:after="0"/>
              <w:rPr>
                <w:sz w:val="10"/>
                <w:szCs w:val="10"/>
                <w:color w:val="auto"/>
              </w:rPr>
            </w:pPr>
          </w:p>
        </w:tc>
        <w:tc>
          <w:tcPr>
            <w:tcW w:w="9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12/19/202</w:t>
            </w:r>
          </w:p>
        </w:tc>
        <w:tc>
          <w:tcPr>
            <w:tcW w:w="7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1/15/2038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3,048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2,727</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w:t>
            </w: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Madison Park Funding XXIX, Ltd. (9) (16)</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17.42%</w:t>
            </w:r>
          </w:p>
        </w:tc>
        <w:tc>
          <w:tcPr>
            <w:tcW w:w="100" w:type="dxa"/>
            <w:vAlign w:val="bottom"/>
            <w:shd w:val="clear" w:color="auto" w:fill="CAEEFB"/>
          </w:tcPr>
          <w:p>
            <w:pPr>
              <w:spacing w:after="0"/>
              <w:rPr>
                <w:sz w:val="10"/>
                <w:szCs w:val="10"/>
                <w:color w:val="auto"/>
              </w:rPr>
            </w:pPr>
          </w:p>
        </w:tc>
        <w:tc>
          <w:tcPr>
            <w:tcW w:w="90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12/22/202</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3/25/2038</w:t>
            </w: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10,971</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5,223</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3,697</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vMerge w:val="continue"/>
            <w:shd w:val="clear" w:color="auto" w:fill="CAEEFB"/>
          </w:tcPr>
          <w:p>
            <w:pPr>
              <w:spacing w:after="0"/>
              <w:rPr>
                <w:sz w:val="14"/>
                <w:szCs w:val="14"/>
                <w:color w:val="auto"/>
              </w:rPr>
            </w:pP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Trinitas CLO VIII, Ltd. (4) (9) (10) (16)</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0.00%</w:t>
            </w:r>
          </w:p>
        </w:tc>
        <w:tc>
          <w:tcPr>
            <w:tcW w:w="100" w:type="dxa"/>
            <w:vAlign w:val="bottom"/>
          </w:tcPr>
          <w:p>
            <w:pPr>
              <w:spacing w:after="0"/>
              <w:rPr>
                <w:sz w:val="12"/>
                <w:szCs w:val="12"/>
                <w:color w:val="auto"/>
              </w:rPr>
            </w:pPr>
          </w:p>
        </w:tc>
        <w:tc>
          <w:tcPr>
            <w:tcW w:w="90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3/4/2021</w:t>
            </w:r>
          </w:p>
        </w:tc>
        <w:tc>
          <w:tcPr>
            <w:tcW w:w="78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7/20/2117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Venture 45 CLO, Limited</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Mezzanine Debt - Class E</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4/18/2022</w:t>
            </w:r>
          </w:p>
        </w:tc>
        <w:tc>
          <w:tcPr>
            <w:tcW w:w="780" w:type="dxa"/>
            <w:vAlign w:val="bottom"/>
            <w:gridSpan w:val="2"/>
            <w:vMerge w:val="restart"/>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7/20/2035</w:t>
            </w: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2,607</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+7.70%</w:t>
            </w: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Voya CLO 2024-7, Ltd. (9) (16)</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Subordinated Notes</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16.31%</w:t>
            </w:r>
          </w:p>
        </w:tc>
        <w:tc>
          <w:tcPr>
            <w:tcW w:w="100" w:type="dxa"/>
            <w:vAlign w:val="bottom"/>
          </w:tcPr>
          <w:p>
            <w:pPr>
              <w:spacing w:after="0"/>
              <w:rPr>
                <w:sz w:val="12"/>
                <w:szCs w:val="12"/>
                <w:color w:val="auto"/>
              </w:rPr>
            </w:pPr>
          </w:p>
        </w:tc>
        <w:tc>
          <w:tcPr>
            <w:tcW w:w="90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6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1/7/2025</w:t>
            </w:r>
          </w:p>
        </w:tc>
        <w:tc>
          <w:tcPr>
            <w:tcW w:w="78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1/20/2038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3,581</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49"/>
        </w:trPr>
        <w:tc>
          <w:tcPr>
            <w:tcW w:w="2560" w:type="dxa"/>
            <w:vAlign w:val="bottom"/>
            <w:tcBorders>
              <w:bottom w:val="single" w:sz="8" w:color="CAEEFB"/>
            </w:tcBorders>
            <w:shd w:val="clear" w:color="auto" w:fill="CAEEFB"/>
          </w:tcPr>
          <w:p>
            <w:pPr>
              <w:spacing w:after="0"/>
              <w:rPr>
                <w:sz w:val="12"/>
                <w:szCs w:val="12"/>
                <w:color w:val="auto"/>
              </w:rPr>
            </w:pPr>
          </w:p>
        </w:tc>
        <w:tc>
          <w:tcPr>
            <w:tcW w:w="120" w:type="dxa"/>
            <w:vAlign w:val="bottom"/>
            <w:tcBorders>
              <w:bottom w:val="single" w:sz="8" w:color="CAEEFB"/>
            </w:tcBorders>
            <w:shd w:val="clear" w:color="auto" w:fill="CAEEFB"/>
          </w:tcPr>
          <w:p>
            <w:pPr>
              <w:spacing w:after="0"/>
              <w:rPr>
                <w:sz w:val="12"/>
                <w:szCs w:val="12"/>
                <w:color w:val="auto"/>
              </w:rPr>
            </w:pPr>
          </w:p>
        </w:tc>
        <w:tc>
          <w:tcPr>
            <w:tcW w:w="1780" w:type="dxa"/>
            <w:vAlign w:val="bottom"/>
            <w:tcBorders>
              <w:bottom w:val="single" w:sz="8" w:color="CAEEFB"/>
            </w:tcBorders>
            <w:shd w:val="clear" w:color="auto" w:fill="CAEEFB"/>
          </w:tcPr>
          <w:p>
            <w:pPr>
              <w:spacing w:after="0"/>
              <w:rPr>
                <w:sz w:val="12"/>
                <w:szCs w:val="12"/>
                <w:color w:val="auto"/>
              </w:rPr>
            </w:pPr>
          </w:p>
        </w:tc>
        <w:tc>
          <w:tcPr>
            <w:tcW w:w="120" w:type="dxa"/>
            <w:vAlign w:val="bottom"/>
            <w:tcBorders>
              <w:bottom w:val="single" w:sz="8" w:color="CAEEFB"/>
            </w:tcBorders>
            <w:shd w:val="clear" w:color="auto" w:fill="CAEEFB"/>
          </w:tcPr>
          <w:p>
            <w:pPr>
              <w:spacing w:after="0"/>
              <w:rPr>
                <w:sz w:val="12"/>
                <w:szCs w:val="12"/>
                <w:color w:val="auto"/>
              </w:rPr>
            </w:pPr>
          </w:p>
        </w:tc>
        <w:tc>
          <w:tcPr>
            <w:tcW w:w="74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90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66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68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bottom w:val="single" w:sz="8" w:color="auto"/>
            </w:tcBorders>
            <w:shd w:val="clear" w:color="auto" w:fill="CAEEFB"/>
          </w:tcPr>
          <w:p>
            <w:pPr>
              <w:spacing w:after="0"/>
              <w:rPr>
                <w:sz w:val="12"/>
                <w:szCs w:val="12"/>
                <w:color w:val="auto"/>
              </w:rPr>
            </w:pPr>
          </w:p>
        </w:tc>
        <w:tc>
          <w:tcPr>
            <w:tcW w:w="560" w:type="dxa"/>
            <w:vAlign w:val="bottom"/>
            <w:tcBorders>
              <w:bottom w:val="single" w:sz="8" w:color="auto"/>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140" w:type="dxa"/>
            <w:vAlign w:val="bottom"/>
            <w:tcBorders>
              <w:bottom w:val="single" w:sz="8" w:color="auto"/>
            </w:tcBorders>
            <w:shd w:val="clear" w:color="auto" w:fill="CAEEFB"/>
          </w:tcPr>
          <w:p>
            <w:pPr>
              <w:spacing w:after="0"/>
              <w:rPr>
                <w:sz w:val="12"/>
                <w:szCs w:val="12"/>
                <w:color w:val="auto"/>
              </w:rPr>
            </w:pPr>
          </w:p>
        </w:tc>
        <w:tc>
          <w:tcPr>
            <w:tcW w:w="640" w:type="dxa"/>
            <w:vAlign w:val="bottom"/>
            <w:tcBorders>
              <w:bottom w:val="single" w:sz="8" w:color="auto"/>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140" w:type="dxa"/>
            <w:vAlign w:val="bottom"/>
            <w:tcBorders>
              <w:bottom w:val="single" w:sz="8" w:color="auto"/>
            </w:tcBorders>
            <w:shd w:val="clear" w:color="auto" w:fill="CAEEFB"/>
          </w:tcPr>
          <w:p>
            <w:pPr>
              <w:spacing w:after="0"/>
              <w:rPr>
                <w:sz w:val="12"/>
                <w:szCs w:val="12"/>
                <w:color w:val="auto"/>
              </w:rPr>
            </w:pPr>
          </w:p>
        </w:tc>
        <w:tc>
          <w:tcPr>
            <w:tcW w:w="640" w:type="dxa"/>
            <w:vAlign w:val="bottom"/>
            <w:tcBorders>
              <w:bottom w:val="single" w:sz="8" w:color="auto"/>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760" w:type="dxa"/>
            <w:vAlign w:val="bottom"/>
            <w:tcBorders>
              <w:bottom w:val="single" w:sz="8" w:color="auto"/>
            </w:tcBorders>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123,32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Structured Finance Securities</w:t>
            </w: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4"/>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77,633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61,605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AEEFB"/>
            </w:tcBorders>
            <w:shd w:val="clear" w:color="auto" w:fill="CAEEFB"/>
          </w:tcPr>
          <w:p>
            <w:pPr>
              <w:spacing w:after="0"/>
              <w:rPr>
                <w:sz w:val="12"/>
                <w:szCs w:val="12"/>
                <w:color w:val="auto"/>
              </w:rPr>
            </w:pPr>
          </w:p>
        </w:tc>
        <w:tc>
          <w:tcPr>
            <w:tcW w:w="120" w:type="dxa"/>
            <w:vAlign w:val="bottom"/>
            <w:tcBorders>
              <w:bottom w:val="single" w:sz="8" w:color="CAEEFB"/>
            </w:tcBorders>
            <w:shd w:val="clear" w:color="auto" w:fill="CAEEFB"/>
          </w:tcPr>
          <w:p>
            <w:pPr>
              <w:spacing w:after="0"/>
              <w:rPr>
                <w:sz w:val="12"/>
                <w:szCs w:val="12"/>
                <w:color w:val="auto"/>
              </w:rPr>
            </w:pPr>
          </w:p>
        </w:tc>
        <w:tc>
          <w:tcPr>
            <w:tcW w:w="1780" w:type="dxa"/>
            <w:vAlign w:val="bottom"/>
            <w:tcBorders>
              <w:bottom w:val="single" w:sz="8" w:color="CAEEFB"/>
            </w:tcBorders>
            <w:shd w:val="clear" w:color="auto" w:fill="CAEEFB"/>
          </w:tcPr>
          <w:p>
            <w:pPr>
              <w:spacing w:after="0"/>
              <w:rPr>
                <w:sz w:val="12"/>
                <w:szCs w:val="12"/>
                <w:color w:val="auto"/>
              </w:rPr>
            </w:pPr>
          </w:p>
        </w:tc>
        <w:tc>
          <w:tcPr>
            <w:tcW w:w="120" w:type="dxa"/>
            <w:vAlign w:val="bottom"/>
            <w:tcBorders>
              <w:bottom w:val="single" w:sz="8" w:color="CAEEFB"/>
            </w:tcBorders>
            <w:shd w:val="clear" w:color="auto" w:fill="CAEEFB"/>
          </w:tcPr>
          <w:p>
            <w:pPr>
              <w:spacing w:after="0"/>
              <w:rPr>
                <w:sz w:val="12"/>
                <w:szCs w:val="12"/>
                <w:color w:val="auto"/>
              </w:rPr>
            </w:pPr>
          </w:p>
        </w:tc>
        <w:tc>
          <w:tcPr>
            <w:tcW w:w="74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90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66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68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top w:val="single" w:sz="8" w:color="auto"/>
              <w:bottom w:val="single" w:sz="8" w:color="auto"/>
            </w:tcBorders>
            <w:shd w:val="clear" w:color="auto" w:fill="CAEEFB"/>
          </w:tcPr>
          <w:p>
            <w:pPr>
              <w:spacing w:after="0"/>
              <w:rPr>
                <w:sz w:val="12"/>
                <w:szCs w:val="12"/>
                <w:color w:val="auto"/>
              </w:rPr>
            </w:pPr>
          </w:p>
        </w:tc>
        <w:tc>
          <w:tcPr>
            <w:tcW w:w="560" w:type="dxa"/>
            <w:vAlign w:val="bottom"/>
            <w:tcBorders>
              <w:top w:val="single" w:sz="8" w:color="auto"/>
              <w:bottom w:val="single" w:sz="8" w:color="auto"/>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140" w:type="dxa"/>
            <w:vAlign w:val="bottom"/>
            <w:tcBorders>
              <w:top w:val="single" w:sz="8" w:color="auto"/>
              <w:bottom w:val="single" w:sz="8" w:color="auto"/>
            </w:tcBorders>
            <w:shd w:val="clear" w:color="auto" w:fill="CAEEFB"/>
          </w:tcPr>
          <w:p>
            <w:pPr>
              <w:spacing w:after="0"/>
              <w:rPr>
                <w:sz w:val="12"/>
                <w:szCs w:val="12"/>
                <w:color w:val="auto"/>
              </w:rPr>
            </w:pPr>
          </w:p>
        </w:tc>
        <w:tc>
          <w:tcPr>
            <w:tcW w:w="640" w:type="dxa"/>
            <w:vAlign w:val="bottom"/>
            <w:tcBorders>
              <w:top w:val="single" w:sz="8" w:color="auto"/>
              <w:bottom w:val="single" w:sz="8" w:color="auto"/>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140" w:type="dxa"/>
            <w:vAlign w:val="bottom"/>
            <w:tcBorders>
              <w:top w:val="single" w:sz="8" w:color="auto"/>
              <w:bottom w:val="single" w:sz="8" w:color="auto"/>
            </w:tcBorders>
            <w:shd w:val="clear" w:color="auto" w:fill="CAEEFB"/>
          </w:tcPr>
          <w:p>
            <w:pPr>
              <w:spacing w:after="0"/>
              <w:rPr>
                <w:sz w:val="12"/>
                <w:szCs w:val="12"/>
                <w:color w:val="auto"/>
              </w:rPr>
            </w:pPr>
          </w:p>
        </w:tc>
        <w:tc>
          <w:tcPr>
            <w:tcW w:w="640" w:type="dxa"/>
            <w:vAlign w:val="bottom"/>
            <w:tcBorders>
              <w:top w:val="single" w:sz="8" w:color="auto"/>
              <w:bottom w:val="single" w:sz="8" w:color="auto"/>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760" w:type="dxa"/>
            <w:vAlign w:val="bottom"/>
            <w:tcBorders>
              <w:top w:val="single" w:sz="8" w:color="auto"/>
              <w:bottom w:val="single" w:sz="8" w:color="auto"/>
            </w:tcBorders>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Total Non-control/Non-affiliate</w:t>
            </w: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4"/>
            <w:vMerge w:val="restart"/>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339,39</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300,748</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242,070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196.5 %</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tcBorders>
              <w:top w:val="single" w:sz="8" w:color="auto"/>
            </w:tcBorders>
            <w:shd w:val="clear" w:color="auto" w:fill="CAEEFB"/>
          </w:tcPr>
          <w:p>
            <w:pPr>
              <w:spacing w:after="0"/>
              <w:rPr>
                <w:sz w:val="12"/>
                <w:szCs w:val="12"/>
                <w:color w:val="auto"/>
              </w:rPr>
            </w:pPr>
          </w:p>
        </w:tc>
        <w:tc>
          <w:tcPr>
            <w:tcW w:w="560" w:type="dxa"/>
            <w:vAlign w:val="bottom"/>
            <w:tcBorders>
              <w:top w:val="single" w:sz="8" w:color="auto"/>
            </w:tcBorders>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tcBorders>
              <w:top w:val="single" w:sz="8" w:color="auto"/>
            </w:tcBorders>
            <w:shd w:val="clear" w:color="auto" w:fill="CAEEFB"/>
          </w:tcPr>
          <w:p>
            <w:pPr>
              <w:spacing w:after="0"/>
              <w:rPr>
                <w:sz w:val="12"/>
                <w:szCs w:val="12"/>
                <w:color w:val="auto"/>
              </w:rPr>
            </w:pPr>
          </w:p>
        </w:tc>
        <w:tc>
          <w:tcPr>
            <w:tcW w:w="640" w:type="dxa"/>
            <w:vAlign w:val="bottom"/>
            <w:tcBorders>
              <w:top w:val="single" w:sz="8" w:color="auto"/>
            </w:tcBorders>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tcBorders>
              <w:top w:val="single" w:sz="8" w:color="auto"/>
            </w:tcBorders>
            <w:shd w:val="clear" w:color="auto" w:fill="CAEEFB"/>
          </w:tcPr>
          <w:p>
            <w:pPr>
              <w:spacing w:after="0"/>
              <w:rPr>
                <w:sz w:val="12"/>
                <w:szCs w:val="12"/>
                <w:color w:val="auto"/>
              </w:rPr>
            </w:pPr>
          </w:p>
        </w:tc>
        <w:tc>
          <w:tcPr>
            <w:tcW w:w="640" w:type="dxa"/>
            <w:vAlign w:val="bottom"/>
            <w:tcBorders>
              <w:top w:val="single" w:sz="8" w:color="auto"/>
            </w:tcBorders>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tcBorders>
              <w:top w:val="single" w:sz="8" w:color="auto"/>
            </w:tcBorders>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Affiliate Investments</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Office Machinery and</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Contract Datascan Holdings, Inc. (17)</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Equipment Rental and</w:t>
            </w: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Leasing</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Equity (3,061 Series A shares)</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8/5/2015</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9,613</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9,201</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10% PIK</w:t>
            </w: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Preferred Equity (2750 Series C shares),</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8/21/2025</w:t>
            </w: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2,884</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71"/>
        </w:trPr>
        <w:tc>
          <w:tcPr>
            <w:tcW w:w="25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14% PIK</w:t>
            </w: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Equity (11,273 shares) (10)</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6/28/2016</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256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Warrants (warrants to purchase 224 Series</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780" w:type="dxa"/>
            <w:vAlign w:val="bottom"/>
            <w:gridSpan w:val="2"/>
            <w:vMerge w:val="restart"/>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8/20/2035</w:t>
            </w:r>
          </w:p>
        </w:tc>
        <w:tc>
          <w:tcPr>
            <w:tcW w:w="1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5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7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8/21/2025</w:t>
            </w:r>
          </w:p>
        </w:tc>
        <w:tc>
          <w:tcPr>
            <w:tcW w:w="780" w:type="dxa"/>
            <w:vAlign w:val="bottom"/>
            <w:gridSpan w:val="2"/>
            <w:vMerge w:val="continue"/>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5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2"/>
                <w:szCs w:val="12"/>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5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preferred equity shares) (10)</w:t>
            </w: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760" w:type="dxa"/>
            <w:vAlign w:val="bottom"/>
            <w:gridSpan w:val="2"/>
            <w:vMerge w:val="continue"/>
            <w:shd w:val="clear" w:color="auto" w:fill="CAEEFB"/>
          </w:tcPr>
          <w:p>
            <w:pPr>
              <w:spacing w:after="0"/>
              <w:rPr>
                <w:sz w:val="14"/>
                <w:szCs w:val="14"/>
                <w:color w:val="auto"/>
              </w:rPr>
            </w:pP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-1731010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-1731010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-1731010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-1430655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-1430655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-1430655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w:t>
            </w:r>
          </w:p>
        </w:tc>
        <w:tc>
          <w:tcPr>
            <w:tcW w:w="100" w:type="dxa"/>
            <w:vAlign w:val="bottom"/>
          </w:tcPr>
          <w:p>
            <w:pPr>
              <w:spacing w:after="0"/>
              <w:rPr>
                <w:sz w:val="13"/>
                <w:szCs w:val="13"/>
                <w:color w:val="auto"/>
              </w:rPr>
            </w:pPr>
          </w:p>
        </w:tc>
        <w:tc>
          <w:tcPr>
            <w:tcW w:w="78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Amortize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Spread Above</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309"/>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2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0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Index (2)</w:t>
            </w: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144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Maturity   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Value (3)</w:t>
            </w:r>
          </w:p>
        </w:tc>
        <w:tc>
          <w:tcPr>
            <w:tcW w:w="100" w:type="dxa"/>
            <w:vAlign w:val="bottom"/>
          </w:tcPr>
          <w:p>
            <w:pPr>
              <w:spacing w:after="0"/>
              <w:rPr>
                <w:sz w:val="15"/>
                <w:szCs w:val="15"/>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19"/>
        </w:trPr>
        <w:tc>
          <w:tcPr>
            <w:tcW w:w="25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Warrants (warrants to purchase</w:t>
            </w:r>
          </w:p>
        </w:tc>
        <w:tc>
          <w:tcPr>
            <w:tcW w:w="120" w:type="dxa"/>
            <w:vAlign w:val="bottom"/>
          </w:tcPr>
          <w:p>
            <w:pPr>
              <w:spacing w:after="0"/>
              <w:rPr>
                <w:sz w:val="10"/>
                <w:szCs w:val="10"/>
                <w:color w:val="auto"/>
              </w:rPr>
            </w:pPr>
          </w:p>
        </w:tc>
        <w:tc>
          <w:tcPr>
            <w:tcW w:w="1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vMerge w:val="restart"/>
          </w:tcPr>
          <w:p>
            <w:pPr>
              <w:spacing w:after="0"/>
              <w:rPr>
                <w:sz w:val="10"/>
                <w:szCs w:val="10"/>
                <w:color w:val="auto"/>
              </w:rPr>
            </w:pPr>
          </w:p>
        </w:tc>
        <w:tc>
          <w:tcPr>
            <w:tcW w:w="6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8/20/2035</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1,946 shares</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8/21/2025</w:t>
            </w:r>
          </w:p>
        </w:tc>
        <w:tc>
          <w:tcPr>
            <w:tcW w:w="1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25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of common equity) (10)</w:t>
            </w: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gridSpan w:val="2"/>
          </w:tcPr>
          <w:p>
            <w:pPr>
              <w:jc w:val="center"/>
              <w:ind w:left="28"/>
              <w:spacing w:after="0" w:line="158"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12,607</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12,085</w:t>
            </w:r>
          </w:p>
        </w:tc>
        <w:tc>
          <w:tcPr>
            <w:tcW w:w="860" w:type="dxa"/>
            <w:vAlign w:val="bottom"/>
            <w:gridSpan w:val="2"/>
            <w:shd w:val="clear" w:color="auto" w:fill="CAEEFB"/>
          </w:tcPr>
          <w:p>
            <w:pPr>
              <w:jc w:val="right"/>
              <w:spacing w:after="0" w:line="142" w:lineRule="exact"/>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DRS Imaging Services, LLC (10) (13) (19)</w:t>
            </w:r>
          </w:p>
        </w:tc>
        <w:tc>
          <w:tcPr>
            <w:tcW w:w="1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Data Processing, Hosting, and</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Related Services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color w:val="auto"/>
              </w:rPr>
              <w:t>Common Equity (1,135 units)</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760" w:type="dxa"/>
            <w:vAlign w:val="bottom"/>
            <w:gridSpan w:val="2"/>
            <w:shd w:val="clear" w:color="auto" w:fill="CAEEFB"/>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3/8/2018</w:t>
            </w: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1,135</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2,671</w:t>
            </w:r>
          </w:p>
        </w:tc>
        <w:tc>
          <w:tcPr>
            <w:tcW w:w="860" w:type="dxa"/>
            <w:vAlign w:val="bottom"/>
            <w:gridSpan w:val="2"/>
            <w:shd w:val="clear" w:color="auto" w:fill="CAEEFB"/>
          </w:tcPr>
          <w:p>
            <w:pPr>
              <w:jc w:val="right"/>
              <w:spacing w:after="0" w:line="149" w:lineRule="exact"/>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Pfanstiehl Holdings, Inc. (19) (20)</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Pharmaceutical Preparation</w:t>
            </w: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5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8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5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760" w:type="dxa"/>
            <w:vAlign w:val="bottom"/>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Equity (400 Class A shares)</w:t>
            </w: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1/1/2014</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79,421</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64.5 %</w:t>
            </w: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SSJA Bariatric Management LLC (19)</w:t>
            </w:r>
          </w:p>
        </w:tc>
        <w:tc>
          <w:tcPr>
            <w:tcW w:w="1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Offices of Physicians, Mental</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Health Specialists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shd w:val="clear" w:color="auto" w:fill="CAEEFB"/>
          </w:tcPr>
          <w:p>
            <w:pPr>
              <w:spacing w:after="0"/>
              <w:rPr>
                <w:sz w:val="20"/>
                <w:szCs w:val="20"/>
                <w:color w:val="auto"/>
              </w:rPr>
            </w:pPr>
            <w:r>
              <w:rPr>
                <w:rFonts w:ascii="Times New Roman" w:cs="Times New Roman" w:eastAsia="Times New Roman" w:hAnsi="Times New Roman"/>
                <w:sz w:val="14"/>
                <w:szCs w:val="14"/>
                <w:color w:val="auto"/>
              </w:rPr>
              <w:t>First Lien Debt (5)</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9.24%</w:t>
            </w: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10/31/202</w:t>
            </w:r>
          </w:p>
        </w:tc>
        <w:tc>
          <w:tcPr>
            <w:tcW w:w="780" w:type="dxa"/>
            <w:vAlign w:val="bottom"/>
            <w:gridSpan w:val="2"/>
            <w:shd w:val="clear" w:color="auto" w:fill="CAEEFB"/>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10/31/202</w:t>
            </w:r>
          </w:p>
        </w:tc>
        <w:tc>
          <w:tcPr>
            <w:tcW w:w="10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540" w:type="dxa"/>
            <w:vAlign w:val="bottom"/>
            <w:vMerge w:val="restart"/>
            <w:shd w:val="clear" w:color="auto" w:fill="CAEEFB"/>
          </w:tcPr>
          <w:p>
            <w:pPr>
              <w:jc w:val="right"/>
              <w:ind w:right="49"/>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2560" w:type="dxa"/>
            <w:vAlign w:val="bottom"/>
            <w:vMerge w:val="continue"/>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1000" w:type="dxa"/>
            <w:vAlign w:val="bottom"/>
            <w:gridSpan w:val="2"/>
            <w:shd w:val="clear" w:color="auto" w:fill="CAEEFB"/>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760" w:type="dxa"/>
            <w:vAlign w:val="bottom"/>
            <w:gridSpan w:val="2"/>
            <w:shd w:val="clear" w:color="auto" w:fill="CAEEFB"/>
          </w:tcPr>
          <w:p>
            <w:pPr>
              <w:jc w:val="center"/>
              <w:ind w:left="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gridSpan w:val="2"/>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5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640" w:type="dxa"/>
            <w:vAlign w:val="bottom"/>
            <w:vMerge w:val="continue"/>
            <w:shd w:val="clear" w:color="auto" w:fill="CAEEFB"/>
          </w:tcPr>
          <w:p>
            <w:pPr>
              <w:spacing w:after="0"/>
              <w:rPr>
                <w:sz w:val="14"/>
                <w:szCs w:val="14"/>
                <w:color w:val="auto"/>
              </w:rPr>
            </w:pPr>
          </w:p>
        </w:tc>
        <w:tc>
          <w:tcPr>
            <w:tcW w:w="860" w:type="dxa"/>
            <w:vAlign w:val="bottom"/>
            <w:gridSpan w:val="2"/>
            <w:vMerge w:val="continue"/>
            <w:shd w:val="clear" w:color="auto" w:fill="CAEEFB"/>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First Lien Debt (15)</w:t>
            </w: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9.24% PIK</w:t>
            </w:r>
          </w:p>
        </w:tc>
        <w:tc>
          <w:tcPr>
            <w:tcW w:w="100" w:type="dxa"/>
            <w:vAlign w:val="bottom"/>
          </w:tcPr>
          <w:p>
            <w:pPr>
              <w:spacing w:after="0"/>
              <w:rPr>
                <w:sz w:val="10"/>
                <w:szCs w:val="10"/>
                <w:color w:val="auto"/>
              </w:rPr>
            </w:pPr>
          </w:p>
        </w:tc>
        <w:tc>
          <w:tcPr>
            <w:tcW w:w="900" w:type="dxa"/>
            <w:vAlign w:val="bottom"/>
          </w:tcPr>
          <w:p>
            <w:pPr>
              <w:jc w:val="right"/>
              <w:ind w:right="408"/>
              <w:spacing w:after="0" w:line="126" w:lineRule="exact"/>
              <w:rPr>
                <w:sz w:val="20"/>
                <w:szCs w:val="20"/>
                <w:color w:val="auto"/>
              </w:rPr>
            </w:pPr>
            <w:r>
              <w:rPr>
                <w:rFonts w:ascii="Times New Roman" w:cs="Times New Roman" w:eastAsia="Times New Roman" w:hAnsi="Times New Roman"/>
                <w:sz w:val="14"/>
                <w:szCs w:val="14"/>
                <w:color w:val="auto"/>
              </w:rPr>
              <w:t>SOFR</w:t>
            </w:r>
          </w:p>
        </w:tc>
        <w:tc>
          <w:tcPr>
            <w:tcW w:w="76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12/31/202</w:t>
            </w:r>
          </w:p>
        </w:tc>
        <w:tc>
          <w:tcPr>
            <w:tcW w:w="780" w:type="dxa"/>
            <w:vAlign w:val="bottom"/>
            <w:gridSpan w:val="2"/>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10/31/202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3,804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3,804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3,804</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AEEFB"/>
          </w:tcPr>
          <w:p>
            <w:pPr>
              <w:spacing w:after="0" w:line="126" w:lineRule="exact"/>
              <w:rPr>
                <w:sz w:val="20"/>
                <w:szCs w:val="20"/>
                <w:color w:val="auto"/>
              </w:rPr>
            </w:pPr>
            <w:r>
              <w:rPr>
                <w:rFonts w:ascii="Times New Roman" w:cs="Times New Roman" w:eastAsia="Times New Roman" w:hAnsi="Times New Roman"/>
                <w:sz w:val="14"/>
                <w:szCs w:val="14"/>
                <w:color w:val="auto"/>
              </w:rPr>
              <w:t>Common Equity (52,763 Class A units)</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760" w:type="dxa"/>
            <w:vAlign w:val="bottom"/>
            <w:gridSpan w:val="2"/>
            <w:shd w:val="clear" w:color="auto" w:fill="CAEEFB"/>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10/31/202</w:t>
            </w: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540" w:type="dxa"/>
            <w:vAlign w:val="bottom"/>
            <w:vMerge w:val="restart"/>
            <w:shd w:val="clear" w:color="auto" w:fill="CAEEF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9,657</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1,729</w:t>
            </w:r>
          </w:p>
        </w:tc>
        <w:tc>
          <w:tcPr>
            <w:tcW w:w="100" w:type="dxa"/>
            <w:vAlign w:val="bottom"/>
            <w:vMerge w:val="restart"/>
            <w:shd w:val="clear" w:color="auto" w:fill="CAEEFB"/>
          </w:tcPr>
          <w:p>
            <w:pPr>
              <w:spacing w:after="0"/>
              <w:rPr>
                <w:sz w:val="10"/>
                <w:szCs w:val="10"/>
                <w:color w:val="auto"/>
              </w:rPr>
            </w:pPr>
          </w:p>
        </w:tc>
        <w:tc>
          <w:tcPr>
            <w:tcW w:w="7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AEEFB"/>
            </w:tcBorders>
            <w:shd w:val="clear" w:color="auto" w:fill="CAEEFB"/>
          </w:tcPr>
          <w:p>
            <w:pPr>
              <w:spacing w:after="0" w:line="158" w:lineRule="exact"/>
              <w:rPr>
                <w:sz w:val="20"/>
                <w:szCs w:val="20"/>
                <w:color w:val="auto"/>
              </w:rPr>
            </w:pPr>
            <w:r>
              <w:rPr>
                <w:rFonts w:ascii="Times New Roman" w:cs="Times New Roman" w:eastAsia="Times New Roman" w:hAnsi="Times New Roman"/>
                <w:sz w:val="14"/>
                <w:szCs w:val="14"/>
                <w:color w:val="auto"/>
              </w:rPr>
              <w:t>(13) (15)</w:t>
            </w:r>
          </w:p>
        </w:tc>
        <w:tc>
          <w:tcPr>
            <w:tcW w:w="120" w:type="dxa"/>
            <w:vAlign w:val="bottom"/>
            <w:tcBorders>
              <w:bottom w:val="single" w:sz="8" w:color="CAEEFB"/>
            </w:tcBorders>
            <w:shd w:val="clear" w:color="auto" w:fill="CAEEFB"/>
          </w:tcPr>
          <w:p>
            <w:pPr>
              <w:spacing w:after="0"/>
              <w:rPr>
                <w:sz w:val="13"/>
                <w:szCs w:val="13"/>
                <w:color w:val="auto"/>
              </w:rPr>
            </w:pPr>
          </w:p>
        </w:tc>
        <w:tc>
          <w:tcPr>
            <w:tcW w:w="178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CAEEFB"/>
            </w:tcBorders>
            <w:shd w:val="clear" w:color="auto" w:fill="CAEEFB"/>
          </w:tcPr>
          <w:p>
            <w:pPr>
              <w:spacing w:after="0"/>
              <w:rPr>
                <w:sz w:val="13"/>
                <w:szCs w:val="13"/>
                <w:color w:val="auto"/>
              </w:rPr>
            </w:pPr>
          </w:p>
        </w:tc>
        <w:tc>
          <w:tcPr>
            <w:tcW w:w="740" w:type="dxa"/>
            <w:vAlign w:val="bottom"/>
            <w:tcBorders>
              <w:bottom w:val="single" w:sz="8" w:color="CAEEFB"/>
            </w:tcBorders>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900" w:type="dxa"/>
            <w:vAlign w:val="bottom"/>
            <w:tcBorders>
              <w:bottom w:val="single" w:sz="8" w:color="CAEEFB"/>
            </w:tcBorders>
            <w:shd w:val="clear" w:color="auto" w:fill="CAEEFB"/>
          </w:tcPr>
          <w:p>
            <w:pPr>
              <w:spacing w:after="0"/>
              <w:rPr>
                <w:sz w:val="13"/>
                <w:szCs w:val="13"/>
                <w:color w:val="auto"/>
              </w:rPr>
            </w:pPr>
          </w:p>
        </w:tc>
        <w:tc>
          <w:tcPr>
            <w:tcW w:w="760" w:type="dxa"/>
            <w:vAlign w:val="bottom"/>
            <w:tcBorders>
              <w:bottom w:val="single" w:sz="8" w:color="CAEEFB"/>
            </w:tcBorders>
            <w:gridSpan w:val="2"/>
            <w:shd w:val="clear" w:color="auto" w:fill="CAEEFB"/>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AEEFB"/>
            </w:tcBorders>
            <w:shd w:val="clear" w:color="auto" w:fill="CAEEFB"/>
          </w:tcPr>
          <w:p>
            <w:pPr>
              <w:spacing w:after="0"/>
              <w:rPr>
                <w:sz w:val="13"/>
                <w:szCs w:val="13"/>
                <w:color w:val="auto"/>
              </w:rPr>
            </w:pPr>
          </w:p>
        </w:tc>
        <w:tc>
          <w:tcPr>
            <w:tcW w:w="680" w:type="dxa"/>
            <w:vAlign w:val="bottom"/>
            <w:tcBorders>
              <w:bottom w:val="single" w:sz="8" w:color="CAEEFB"/>
            </w:tcBorders>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20" w:type="dxa"/>
            <w:vAlign w:val="bottom"/>
            <w:tcBorders>
              <w:bottom w:val="single" w:sz="8" w:color="auto"/>
            </w:tcBorders>
            <w:shd w:val="clear" w:color="auto" w:fill="CAEEFB"/>
          </w:tcPr>
          <w:p>
            <w:pPr>
              <w:spacing w:after="0"/>
              <w:rPr>
                <w:sz w:val="13"/>
                <w:szCs w:val="13"/>
                <w:color w:val="auto"/>
              </w:rPr>
            </w:pPr>
          </w:p>
        </w:tc>
        <w:tc>
          <w:tcPr>
            <w:tcW w:w="54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40" w:type="dxa"/>
            <w:vAlign w:val="bottom"/>
            <w:tcBorders>
              <w:bottom w:val="single" w:sz="8" w:color="auto"/>
            </w:tcBorders>
            <w:shd w:val="clear" w:color="auto" w:fill="CAEEFB"/>
          </w:tcPr>
          <w:p>
            <w:pPr>
              <w:spacing w:after="0"/>
              <w:rPr>
                <w:sz w:val="13"/>
                <w:szCs w:val="13"/>
                <w:color w:val="auto"/>
              </w:rPr>
            </w:pPr>
          </w:p>
        </w:tc>
        <w:tc>
          <w:tcPr>
            <w:tcW w:w="64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shd w:val="clear" w:color="auto" w:fill="CAEEFB"/>
          </w:tcPr>
          <w:p>
            <w:pPr>
              <w:spacing w:after="0"/>
              <w:rPr>
                <w:sz w:val="13"/>
                <w:szCs w:val="13"/>
                <w:color w:val="auto"/>
              </w:rPr>
            </w:pPr>
          </w:p>
        </w:tc>
        <w:tc>
          <w:tcPr>
            <w:tcW w:w="140" w:type="dxa"/>
            <w:vAlign w:val="bottom"/>
            <w:tcBorders>
              <w:bottom w:val="single" w:sz="8" w:color="auto"/>
            </w:tcBorders>
            <w:shd w:val="clear" w:color="auto" w:fill="CAEEFB"/>
          </w:tcPr>
          <w:p>
            <w:pPr>
              <w:spacing w:after="0"/>
              <w:rPr>
                <w:sz w:val="13"/>
                <w:szCs w:val="13"/>
                <w:color w:val="auto"/>
              </w:rPr>
            </w:pPr>
          </w:p>
        </w:tc>
        <w:tc>
          <w:tcPr>
            <w:tcW w:w="640" w:type="dxa"/>
            <w:vAlign w:val="bottom"/>
            <w:tcBorders>
              <w:bottom w:val="single" w:sz="8" w:color="auto"/>
            </w:tcBorders>
            <w:vMerge w:val="continue"/>
            <w:shd w:val="clear" w:color="auto" w:fill="CAEEFB"/>
          </w:tcPr>
          <w:p>
            <w:pPr>
              <w:spacing w:after="0"/>
              <w:rPr>
                <w:sz w:val="13"/>
                <w:szCs w:val="13"/>
                <w:color w:val="auto"/>
              </w:rPr>
            </w:pPr>
          </w:p>
        </w:tc>
        <w:tc>
          <w:tcPr>
            <w:tcW w:w="100" w:type="dxa"/>
            <w:vAlign w:val="bottom"/>
            <w:tcBorders>
              <w:bottom w:val="single" w:sz="8" w:color="CAEEFB"/>
            </w:tcBorders>
            <w:vMerge w:val="continue"/>
            <w:shd w:val="clear" w:color="auto" w:fill="CAEEFB"/>
          </w:tcPr>
          <w:p>
            <w:pPr>
              <w:spacing w:after="0"/>
              <w:rPr>
                <w:sz w:val="13"/>
                <w:szCs w:val="13"/>
                <w:color w:val="auto"/>
              </w:rPr>
            </w:pPr>
          </w:p>
        </w:tc>
        <w:tc>
          <w:tcPr>
            <w:tcW w:w="760" w:type="dxa"/>
            <w:vAlign w:val="bottom"/>
            <w:tcBorders>
              <w:bottom w:val="single" w:sz="8" w:color="auto"/>
            </w:tcBorders>
            <w:vMerge w:val="continue"/>
            <w:shd w:val="clear" w:color="auto" w:fill="CAEEF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4,038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13,693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5,768</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4.7 %</w:t>
            </w:r>
          </w:p>
        </w:tc>
        <w:tc>
          <w:tcPr>
            <w:tcW w:w="0" w:type="dxa"/>
            <w:vAlign w:val="bottom"/>
          </w:tcPr>
          <w:p>
            <w:pPr>
              <w:spacing w:after="0"/>
              <w:rPr>
                <w:sz w:val="1"/>
                <w:szCs w:val="1"/>
                <w:color w:val="auto"/>
              </w:rPr>
            </w:pPr>
          </w:p>
        </w:tc>
      </w:tr>
      <w:tr>
        <w:trPr>
          <w:trHeight w:val="149"/>
        </w:trPr>
        <w:tc>
          <w:tcPr>
            <w:tcW w:w="2560" w:type="dxa"/>
            <w:vAlign w:val="bottom"/>
            <w:tcBorders>
              <w:bottom w:val="single" w:sz="8" w:color="CAEEFB"/>
            </w:tcBorders>
            <w:shd w:val="clear" w:color="auto" w:fill="CAEEFB"/>
          </w:tcPr>
          <w:p>
            <w:pPr>
              <w:spacing w:after="0"/>
              <w:rPr>
                <w:sz w:val="12"/>
                <w:szCs w:val="12"/>
                <w:color w:val="auto"/>
              </w:rPr>
            </w:pPr>
          </w:p>
        </w:tc>
        <w:tc>
          <w:tcPr>
            <w:tcW w:w="120" w:type="dxa"/>
            <w:vAlign w:val="bottom"/>
            <w:tcBorders>
              <w:bottom w:val="single" w:sz="8" w:color="CAEEFB"/>
            </w:tcBorders>
            <w:shd w:val="clear" w:color="auto" w:fill="CAEEFB"/>
          </w:tcPr>
          <w:p>
            <w:pPr>
              <w:spacing w:after="0"/>
              <w:rPr>
                <w:sz w:val="12"/>
                <w:szCs w:val="12"/>
                <w:color w:val="auto"/>
              </w:rPr>
            </w:pPr>
          </w:p>
        </w:tc>
        <w:tc>
          <w:tcPr>
            <w:tcW w:w="1780" w:type="dxa"/>
            <w:vAlign w:val="bottom"/>
            <w:tcBorders>
              <w:bottom w:val="single" w:sz="8" w:color="CAEEFB"/>
            </w:tcBorders>
            <w:shd w:val="clear" w:color="auto" w:fill="CAEEFB"/>
          </w:tcPr>
          <w:p>
            <w:pPr>
              <w:spacing w:after="0"/>
              <w:rPr>
                <w:sz w:val="12"/>
                <w:szCs w:val="12"/>
                <w:color w:val="auto"/>
              </w:rPr>
            </w:pPr>
          </w:p>
        </w:tc>
        <w:tc>
          <w:tcPr>
            <w:tcW w:w="120" w:type="dxa"/>
            <w:vAlign w:val="bottom"/>
            <w:tcBorders>
              <w:bottom w:val="single" w:sz="8" w:color="CAEEFB"/>
            </w:tcBorders>
            <w:shd w:val="clear" w:color="auto" w:fill="CAEEFB"/>
          </w:tcPr>
          <w:p>
            <w:pPr>
              <w:spacing w:after="0"/>
              <w:rPr>
                <w:sz w:val="12"/>
                <w:szCs w:val="12"/>
                <w:color w:val="auto"/>
              </w:rPr>
            </w:pPr>
          </w:p>
        </w:tc>
        <w:tc>
          <w:tcPr>
            <w:tcW w:w="74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90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66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680" w:type="dxa"/>
            <w:vAlign w:val="bottom"/>
            <w:tcBorders>
              <w:bottom w:val="single" w:sz="8" w:color="CAEEFB"/>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120" w:type="dxa"/>
            <w:vAlign w:val="bottom"/>
            <w:tcBorders>
              <w:bottom w:val="single" w:sz="8" w:color="auto"/>
            </w:tcBorders>
            <w:shd w:val="clear" w:color="auto" w:fill="CAEEFB"/>
          </w:tcPr>
          <w:p>
            <w:pPr>
              <w:spacing w:after="0"/>
              <w:rPr>
                <w:sz w:val="12"/>
                <w:szCs w:val="12"/>
                <w:color w:val="auto"/>
              </w:rPr>
            </w:pPr>
          </w:p>
        </w:tc>
        <w:tc>
          <w:tcPr>
            <w:tcW w:w="540" w:type="dxa"/>
            <w:vAlign w:val="bottom"/>
            <w:tcBorders>
              <w:bottom w:val="single" w:sz="8" w:color="auto"/>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140" w:type="dxa"/>
            <w:vAlign w:val="bottom"/>
            <w:tcBorders>
              <w:bottom w:val="single" w:sz="8" w:color="auto"/>
            </w:tcBorders>
            <w:shd w:val="clear" w:color="auto" w:fill="CAEEFB"/>
          </w:tcPr>
          <w:p>
            <w:pPr>
              <w:spacing w:after="0"/>
              <w:rPr>
                <w:sz w:val="12"/>
                <w:szCs w:val="12"/>
                <w:color w:val="auto"/>
              </w:rPr>
            </w:pPr>
          </w:p>
        </w:tc>
        <w:tc>
          <w:tcPr>
            <w:tcW w:w="640" w:type="dxa"/>
            <w:vAlign w:val="bottom"/>
            <w:tcBorders>
              <w:bottom w:val="single" w:sz="8" w:color="auto"/>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140" w:type="dxa"/>
            <w:vAlign w:val="bottom"/>
            <w:tcBorders>
              <w:bottom w:val="single" w:sz="8" w:color="auto"/>
            </w:tcBorders>
            <w:shd w:val="clear" w:color="auto" w:fill="CAEEFB"/>
          </w:tcPr>
          <w:p>
            <w:pPr>
              <w:spacing w:after="0"/>
              <w:rPr>
                <w:sz w:val="12"/>
                <w:szCs w:val="12"/>
                <w:color w:val="auto"/>
              </w:rPr>
            </w:pPr>
          </w:p>
        </w:tc>
        <w:tc>
          <w:tcPr>
            <w:tcW w:w="640" w:type="dxa"/>
            <w:vAlign w:val="bottom"/>
            <w:tcBorders>
              <w:bottom w:val="single" w:sz="8" w:color="auto"/>
            </w:tcBorders>
            <w:shd w:val="clear" w:color="auto" w:fill="CAEEFB"/>
          </w:tcPr>
          <w:p>
            <w:pPr>
              <w:spacing w:after="0"/>
              <w:rPr>
                <w:sz w:val="12"/>
                <w:szCs w:val="12"/>
                <w:color w:val="auto"/>
              </w:rPr>
            </w:pPr>
          </w:p>
        </w:tc>
        <w:tc>
          <w:tcPr>
            <w:tcW w:w="100" w:type="dxa"/>
            <w:vAlign w:val="bottom"/>
            <w:tcBorders>
              <w:bottom w:val="single" w:sz="8" w:color="CAEEFB"/>
            </w:tcBorders>
            <w:shd w:val="clear" w:color="auto" w:fill="CAEEFB"/>
          </w:tcPr>
          <w:p>
            <w:pPr>
              <w:spacing w:after="0"/>
              <w:rPr>
                <w:sz w:val="12"/>
                <w:szCs w:val="12"/>
                <w:color w:val="auto"/>
              </w:rPr>
            </w:pPr>
          </w:p>
        </w:tc>
        <w:tc>
          <w:tcPr>
            <w:tcW w:w="760" w:type="dxa"/>
            <w:vAlign w:val="bottom"/>
            <w:tcBorders>
              <w:bottom w:val="single" w:sz="8" w:color="auto"/>
            </w:tcBorders>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gridSpan w:val="4"/>
          </w:tcPr>
          <w:p>
            <w:pPr>
              <w:ind w:left="8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4,038</w:t>
            </w:r>
          </w:p>
        </w:tc>
        <w:tc>
          <w:tcPr>
            <w:tcW w:w="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27,652</w:t>
            </w:r>
          </w:p>
        </w:tc>
        <w:tc>
          <w:tcPr>
            <w:tcW w:w="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99,945</w:t>
            </w:r>
          </w:p>
        </w:tc>
        <w:tc>
          <w:tcPr>
            <w:tcW w:w="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81.2 %</w:t>
            </w:r>
          </w:p>
        </w:tc>
        <w:tc>
          <w:tcPr>
            <w:tcW w:w="0" w:type="dxa"/>
            <w:vAlign w:val="bottom"/>
          </w:tcPr>
          <w:p>
            <w:pPr>
              <w:spacing w:after="0"/>
              <w:rPr>
                <w:sz w:val="1"/>
                <w:szCs w:val="1"/>
                <w:color w:val="auto"/>
              </w:rPr>
            </w:pPr>
          </w:p>
        </w:tc>
      </w:tr>
      <w:tr>
        <w:trPr>
          <w:trHeight w:val="142"/>
        </w:trPr>
        <w:tc>
          <w:tcPr>
            <w:tcW w:w="256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20" w:type="dxa"/>
            <w:vAlign w:val="bottom"/>
            <w:tcBorders>
              <w:top w:val="single" w:sz="8" w:color="auto"/>
            </w:tcBorders>
            <w:shd w:val="clear" w:color="auto" w:fill="CAEEFB"/>
          </w:tcPr>
          <w:p>
            <w:pPr>
              <w:spacing w:after="0"/>
              <w:rPr>
                <w:sz w:val="12"/>
                <w:szCs w:val="12"/>
                <w:color w:val="auto"/>
              </w:rPr>
            </w:pPr>
          </w:p>
        </w:tc>
        <w:tc>
          <w:tcPr>
            <w:tcW w:w="540" w:type="dxa"/>
            <w:vAlign w:val="bottom"/>
            <w:tcBorders>
              <w:top w:val="single" w:sz="8" w:color="auto"/>
            </w:tcBorders>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tcBorders>
              <w:top w:val="single" w:sz="8" w:color="auto"/>
            </w:tcBorders>
            <w:shd w:val="clear" w:color="auto" w:fill="CAEEFB"/>
          </w:tcPr>
          <w:p>
            <w:pPr>
              <w:spacing w:after="0"/>
              <w:rPr>
                <w:sz w:val="12"/>
                <w:szCs w:val="12"/>
                <w:color w:val="auto"/>
              </w:rPr>
            </w:pPr>
          </w:p>
        </w:tc>
        <w:tc>
          <w:tcPr>
            <w:tcW w:w="640" w:type="dxa"/>
            <w:vAlign w:val="bottom"/>
            <w:tcBorders>
              <w:top w:val="single" w:sz="8" w:color="auto"/>
            </w:tcBorders>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tcBorders>
              <w:top w:val="single" w:sz="8" w:color="auto"/>
            </w:tcBorders>
            <w:shd w:val="clear" w:color="auto" w:fill="CAEEFB"/>
          </w:tcPr>
          <w:p>
            <w:pPr>
              <w:spacing w:after="0"/>
              <w:rPr>
                <w:sz w:val="12"/>
                <w:szCs w:val="12"/>
                <w:color w:val="auto"/>
              </w:rPr>
            </w:pPr>
          </w:p>
        </w:tc>
        <w:tc>
          <w:tcPr>
            <w:tcW w:w="640" w:type="dxa"/>
            <w:vAlign w:val="bottom"/>
            <w:tcBorders>
              <w:top w:val="single" w:sz="8" w:color="auto"/>
            </w:tcBorders>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tcBorders>
              <w:top w:val="single" w:sz="8" w:color="auto"/>
            </w:tcBorders>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6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540" w:type="dxa"/>
            <w:vAlign w:val="bottom"/>
            <w:shd w:val="clear" w:color="auto" w:fill="CAEEFB"/>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343,43</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20" w:type="dxa"/>
            <w:vAlign w:val="bottom"/>
            <w:shd w:val="clear" w:color="auto" w:fill="CAEEFB"/>
          </w:tcPr>
          <w:p>
            <w:pPr>
              <w:spacing w:after="0"/>
              <w:rPr>
                <w:sz w:val="14"/>
                <w:szCs w:val="14"/>
                <w:color w:val="auto"/>
              </w:rPr>
            </w:pPr>
          </w:p>
        </w:tc>
        <w:tc>
          <w:tcPr>
            <w:tcW w:w="178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660" w:type="dxa"/>
            <w:vAlign w:val="bottom"/>
            <w:shd w:val="clear" w:color="auto" w:fill="CAEEFB"/>
          </w:tcPr>
          <w:p>
            <w:pPr>
              <w:spacing w:after="0"/>
              <w:rPr>
                <w:sz w:val="14"/>
                <w:szCs w:val="14"/>
                <w:color w:val="auto"/>
              </w:rPr>
            </w:pPr>
          </w:p>
        </w:tc>
        <w:tc>
          <w:tcPr>
            <w:tcW w:w="1000" w:type="dxa"/>
            <w:vAlign w:val="bottom"/>
            <w:gridSpan w:val="4"/>
            <w:shd w:val="clear" w:color="auto" w:fill="CAEEFB"/>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AEEFB"/>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328,400</w:t>
            </w:r>
          </w:p>
        </w:tc>
        <w:tc>
          <w:tcPr>
            <w:tcW w:w="24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342,015</w:t>
            </w:r>
          </w:p>
        </w:tc>
        <w:tc>
          <w:tcPr>
            <w:tcW w:w="8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277.6 %</w:t>
            </w:r>
          </w:p>
        </w:tc>
        <w:tc>
          <w:tcPr>
            <w:tcW w:w="0" w:type="dxa"/>
            <w:vAlign w:val="bottom"/>
          </w:tcPr>
          <w:p>
            <w:pPr>
              <w:spacing w:after="0"/>
              <w:rPr>
                <w:sz w:val="1"/>
                <w:szCs w:val="1"/>
                <w:color w:val="auto"/>
              </w:rPr>
            </w:pPr>
          </w:p>
        </w:tc>
      </w:tr>
      <w:tr>
        <w:trPr>
          <w:trHeight w:val="142"/>
        </w:trPr>
        <w:tc>
          <w:tcPr>
            <w:tcW w:w="2560" w:type="dxa"/>
            <w:vAlign w:val="bottom"/>
            <w:tcBorders>
              <w:top w:val="single" w:sz="8" w:color="CAEEFB"/>
            </w:tcBorders>
          </w:tcPr>
          <w:p>
            <w:pPr>
              <w:spacing w:after="0"/>
              <w:rPr>
                <w:sz w:val="12"/>
                <w:szCs w:val="12"/>
                <w:color w:val="auto"/>
              </w:rPr>
            </w:pPr>
          </w:p>
        </w:tc>
        <w:tc>
          <w:tcPr>
            <w:tcW w:w="120" w:type="dxa"/>
            <w:vAlign w:val="bottom"/>
            <w:tcBorders>
              <w:top w:val="single" w:sz="8" w:color="CAEEFB"/>
            </w:tcBorders>
          </w:tcPr>
          <w:p>
            <w:pPr>
              <w:spacing w:after="0"/>
              <w:rPr>
                <w:sz w:val="12"/>
                <w:szCs w:val="12"/>
                <w:color w:val="auto"/>
              </w:rPr>
            </w:pPr>
          </w:p>
        </w:tc>
        <w:tc>
          <w:tcPr>
            <w:tcW w:w="1780" w:type="dxa"/>
            <w:vAlign w:val="bottom"/>
            <w:tcBorders>
              <w:top w:val="single" w:sz="8" w:color="CAEEFB"/>
            </w:tcBorders>
          </w:tcPr>
          <w:p>
            <w:pPr>
              <w:spacing w:after="0"/>
              <w:rPr>
                <w:sz w:val="12"/>
                <w:szCs w:val="12"/>
                <w:color w:val="auto"/>
              </w:rPr>
            </w:pPr>
          </w:p>
        </w:tc>
        <w:tc>
          <w:tcPr>
            <w:tcW w:w="120" w:type="dxa"/>
            <w:vAlign w:val="bottom"/>
            <w:tcBorders>
              <w:top w:val="single" w:sz="8" w:color="CAEEFB"/>
            </w:tcBorders>
          </w:tcPr>
          <w:p>
            <w:pPr>
              <w:spacing w:after="0"/>
              <w:rPr>
                <w:sz w:val="12"/>
                <w:szCs w:val="12"/>
                <w:color w:val="auto"/>
              </w:rPr>
            </w:pPr>
          </w:p>
        </w:tc>
        <w:tc>
          <w:tcPr>
            <w:tcW w:w="740" w:type="dxa"/>
            <w:vAlign w:val="bottom"/>
            <w:tcBorders>
              <w:top w:val="single" w:sz="8" w:color="CAEEFB"/>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900" w:type="dxa"/>
            <w:vAlign w:val="bottom"/>
            <w:tcBorders>
              <w:top w:val="single" w:sz="8" w:color="CAEEFB"/>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660" w:type="dxa"/>
            <w:vAlign w:val="bottom"/>
            <w:tcBorders>
              <w:top w:val="single" w:sz="8" w:color="CAEEFB"/>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680" w:type="dxa"/>
            <w:vAlign w:val="bottom"/>
            <w:tcBorders>
              <w:top w:val="single" w:sz="8" w:color="CAEEFB"/>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Equivalents (23)</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7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90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5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76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3.66%</w:t>
            </w:r>
          </w:p>
        </w:tc>
        <w:tc>
          <w:tcPr>
            <w:tcW w:w="100" w:type="dxa"/>
            <w:vAlign w:val="bottom"/>
          </w:tcPr>
          <w:p>
            <w:pPr>
              <w:spacing w:after="0"/>
              <w:rPr>
                <w:sz w:val="12"/>
                <w:szCs w:val="12"/>
                <w:color w:val="auto"/>
              </w:rPr>
            </w:pPr>
          </w:p>
        </w:tc>
        <w:tc>
          <w:tcPr>
            <w:tcW w:w="90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60" w:type="dxa"/>
            <w:vAlign w:val="bottom"/>
            <w:shd w:val="clear" w:color="auto" w:fill="CAEEFB"/>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First American Treasury Obligations Fund</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0" w:type="dxa"/>
            <w:vAlign w:val="bottom"/>
            <w:gridSpan w:val="4"/>
            <w:vMerge w:val="restart"/>
            <w:shd w:val="clear" w:color="auto" w:fill="CAEEFB"/>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AEEFB"/>
          </w:tcPr>
          <w:p>
            <w:pPr>
              <w:jc w:val="right"/>
              <w:ind w:right="49"/>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73"/>
        </w:trPr>
        <w:tc>
          <w:tcPr>
            <w:tcW w:w="25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Class Z</w:t>
            </w:r>
          </w:p>
        </w:tc>
        <w:tc>
          <w:tcPr>
            <w:tcW w:w="120" w:type="dxa"/>
            <w:vAlign w:val="bottom"/>
            <w:shd w:val="clear" w:color="auto" w:fill="CAEEFB"/>
          </w:tcPr>
          <w:p>
            <w:pPr>
              <w:spacing w:after="0"/>
              <w:rPr>
                <w:sz w:val="15"/>
                <w:szCs w:val="15"/>
                <w:color w:val="auto"/>
              </w:rPr>
            </w:pPr>
          </w:p>
        </w:tc>
        <w:tc>
          <w:tcPr>
            <w:tcW w:w="178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74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90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000" w:type="dxa"/>
            <w:vAlign w:val="bottom"/>
            <w:gridSpan w:val="4"/>
            <w:vMerge w:val="continue"/>
            <w:shd w:val="clear" w:color="auto" w:fill="CAEEFB"/>
          </w:tcPr>
          <w:p>
            <w:pPr>
              <w:spacing w:after="0"/>
              <w:rPr>
                <w:sz w:val="15"/>
                <w:szCs w:val="15"/>
                <w:color w:val="auto"/>
              </w:rPr>
            </w:pPr>
          </w:p>
        </w:tc>
        <w:tc>
          <w:tcPr>
            <w:tcW w:w="540" w:type="dxa"/>
            <w:vAlign w:val="bottom"/>
            <w:vMerge w:val="continue"/>
            <w:shd w:val="clear" w:color="auto" w:fill="CAEEFB"/>
          </w:tcPr>
          <w:p>
            <w:pPr>
              <w:spacing w:after="0"/>
              <w:rPr>
                <w:sz w:val="15"/>
                <w:szCs w:val="15"/>
                <w:color w:val="auto"/>
              </w:rPr>
            </w:pPr>
          </w:p>
        </w:tc>
        <w:tc>
          <w:tcPr>
            <w:tcW w:w="240" w:type="dxa"/>
            <w:vAlign w:val="bottom"/>
            <w:gridSpan w:val="2"/>
            <w:vMerge w:val="continue"/>
            <w:shd w:val="clear" w:color="auto" w:fill="CAEEFB"/>
          </w:tcPr>
          <w:p>
            <w:pPr>
              <w:spacing w:after="0"/>
              <w:rPr>
                <w:sz w:val="15"/>
                <w:szCs w:val="15"/>
                <w:color w:val="auto"/>
              </w:rPr>
            </w:pPr>
          </w:p>
        </w:tc>
        <w:tc>
          <w:tcPr>
            <w:tcW w:w="640" w:type="dxa"/>
            <w:vAlign w:val="bottom"/>
            <w:vMerge w:val="continue"/>
            <w:shd w:val="clear" w:color="auto" w:fill="CAEEFB"/>
          </w:tcPr>
          <w:p>
            <w:pPr>
              <w:spacing w:after="0"/>
              <w:rPr>
                <w:sz w:val="15"/>
                <w:szCs w:val="15"/>
                <w:color w:val="auto"/>
              </w:rPr>
            </w:pPr>
          </w:p>
        </w:tc>
        <w:tc>
          <w:tcPr>
            <w:tcW w:w="240" w:type="dxa"/>
            <w:vAlign w:val="bottom"/>
            <w:gridSpan w:val="2"/>
            <w:vMerge w:val="continue"/>
            <w:shd w:val="clear" w:color="auto" w:fill="CAEEFB"/>
          </w:tcPr>
          <w:p>
            <w:pPr>
              <w:spacing w:after="0"/>
              <w:rPr>
                <w:sz w:val="15"/>
                <w:szCs w:val="15"/>
                <w:color w:val="auto"/>
              </w:rPr>
            </w:pPr>
          </w:p>
        </w:tc>
        <w:tc>
          <w:tcPr>
            <w:tcW w:w="640" w:type="dxa"/>
            <w:vAlign w:val="bottom"/>
            <w:vMerge w:val="continue"/>
            <w:shd w:val="clear" w:color="auto" w:fill="CAEEFB"/>
          </w:tcPr>
          <w:p>
            <w:pPr>
              <w:spacing w:after="0"/>
              <w:rPr>
                <w:sz w:val="15"/>
                <w:szCs w:val="15"/>
                <w:color w:val="auto"/>
              </w:rPr>
            </w:pPr>
          </w:p>
        </w:tc>
        <w:tc>
          <w:tcPr>
            <w:tcW w:w="860" w:type="dxa"/>
            <w:vAlign w:val="bottom"/>
            <w:gridSpan w:val="2"/>
            <w:vMerge w:val="continue"/>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60" w:type="dxa"/>
            <w:vAlign w:val="bottom"/>
            <w:shd w:val="clear" w:color="auto" w:fill="CAEEFB"/>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Morgan Stanley Institutional Liquidity</w:t>
            </w: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5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AEEFB"/>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Funds -</w:t>
            </w:r>
          </w:p>
        </w:tc>
        <w:tc>
          <w:tcPr>
            <w:tcW w:w="120" w:type="dxa"/>
            <w:vAlign w:val="bottom"/>
            <w:shd w:val="clear" w:color="auto" w:fill="CAEEFB"/>
          </w:tcPr>
          <w:p>
            <w:pPr>
              <w:spacing w:after="0"/>
              <w:rPr>
                <w:sz w:val="12"/>
                <w:szCs w:val="12"/>
                <w:color w:val="auto"/>
              </w:rPr>
            </w:pPr>
          </w:p>
        </w:tc>
        <w:tc>
          <w:tcPr>
            <w:tcW w:w="1780" w:type="dxa"/>
            <w:vAlign w:val="bottom"/>
            <w:shd w:val="clear" w:color="auto" w:fill="CAEEFB"/>
          </w:tcPr>
          <w:p>
            <w:pPr>
              <w:spacing w:after="0"/>
              <w:rPr>
                <w:sz w:val="12"/>
                <w:szCs w:val="12"/>
                <w:color w:val="auto"/>
              </w:rPr>
            </w:pPr>
          </w:p>
        </w:tc>
        <w:tc>
          <w:tcPr>
            <w:tcW w:w="860" w:type="dxa"/>
            <w:vAlign w:val="bottom"/>
            <w:gridSpan w:val="2"/>
            <w:vMerge w:val="restart"/>
            <w:shd w:val="clear" w:color="auto" w:fill="CAEEFB"/>
          </w:tcPr>
          <w:p>
            <w:pPr>
              <w:jc w:val="center"/>
              <w:ind w:left="28"/>
              <w:spacing w:after="0"/>
              <w:rPr>
                <w:sz w:val="20"/>
                <w:szCs w:val="20"/>
                <w:color w:val="auto"/>
              </w:rPr>
            </w:pPr>
            <w:r>
              <w:rPr>
                <w:rFonts w:ascii="Times New Roman" w:cs="Times New Roman" w:eastAsia="Times New Roman" w:hAnsi="Times New Roman"/>
                <w:sz w:val="14"/>
                <w:szCs w:val="14"/>
                <w:color w:val="auto"/>
                <w:w w:val="99"/>
              </w:rPr>
              <w:t>3.48%</w:t>
            </w:r>
          </w:p>
        </w:tc>
        <w:tc>
          <w:tcPr>
            <w:tcW w:w="100" w:type="dxa"/>
            <w:vAlign w:val="bottom"/>
            <w:shd w:val="clear" w:color="auto" w:fill="CAEEFB"/>
          </w:tcPr>
          <w:p>
            <w:pPr>
              <w:spacing w:after="0"/>
              <w:rPr>
                <w:sz w:val="12"/>
                <w:szCs w:val="12"/>
                <w:color w:val="auto"/>
              </w:rPr>
            </w:pPr>
          </w:p>
        </w:tc>
        <w:tc>
          <w:tcPr>
            <w:tcW w:w="900" w:type="dxa"/>
            <w:vAlign w:val="bottom"/>
            <w:vMerge w:val="restart"/>
            <w:shd w:val="clear" w:color="auto" w:fill="CAEEFB"/>
          </w:tcPr>
          <w:p>
            <w:pPr>
              <w:jc w:val="right"/>
              <w:ind w:right="388"/>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AEEFB"/>
          </w:tcPr>
          <w:p>
            <w:pPr>
              <w:spacing w:after="0"/>
              <w:rPr>
                <w:sz w:val="12"/>
                <w:szCs w:val="12"/>
                <w:color w:val="auto"/>
              </w:rPr>
            </w:pPr>
          </w:p>
        </w:tc>
        <w:tc>
          <w:tcPr>
            <w:tcW w:w="66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680" w:type="dxa"/>
            <w:vAlign w:val="bottom"/>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540" w:type="dxa"/>
            <w:vAlign w:val="bottom"/>
            <w:vMerge w:val="restart"/>
            <w:shd w:val="clear" w:color="auto" w:fill="CAEEFB"/>
          </w:tcPr>
          <w:p>
            <w:pPr>
              <w:jc w:val="right"/>
              <w:ind w:right="49"/>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AEEFB"/>
          </w:tcPr>
          <w:p>
            <w:pPr>
              <w:spacing w:after="0"/>
              <w:rPr>
                <w:sz w:val="12"/>
                <w:szCs w:val="12"/>
                <w:color w:val="auto"/>
              </w:rPr>
            </w:pPr>
          </w:p>
        </w:tc>
        <w:tc>
          <w:tcPr>
            <w:tcW w:w="140" w:type="dxa"/>
            <w:vAlign w:val="bottom"/>
            <w:shd w:val="clear" w:color="auto" w:fill="CAEEFB"/>
          </w:tcPr>
          <w:p>
            <w:pPr>
              <w:spacing w:after="0"/>
              <w:rPr>
                <w:sz w:val="12"/>
                <w:szCs w:val="12"/>
                <w:color w:val="auto"/>
              </w:rPr>
            </w:pPr>
          </w:p>
        </w:tc>
        <w:tc>
          <w:tcPr>
            <w:tcW w:w="640" w:type="dxa"/>
            <w:vAlign w:val="bottom"/>
            <w:vMerge w:val="restart"/>
            <w:shd w:val="clear" w:color="auto" w:fill="CAEEFB"/>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8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3"/>
        </w:trPr>
        <w:tc>
          <w:tcPr>
            <w:tcW w:w="2560" w:type="dxa"/>
            <w:vAlign w:val="bottom"/>
            <w:shd w:val="clear" w:color="auto" w:fill="CAEEFB"/>
          </w:tcPr>
          <w:p>
            <w:pPr>
              <w:spacing w:after="0"/>
              <w:rPr>
                <w:sz w:val="20"/>
                <w:szCs w:val="20"/>
                <w:color w:val="auto"/>
              </w:rPr>
            </w:pPr>
            <w:r>
              <w:rPr>
                <w:rFonts w:ascii="Times New Roman" w:cs="Times New Roman" w:eastAsia="Times New Roman" w:hAnsi="Times New Roman"/>
                <w:sz w:val="14"/>
                <w:szCs w:val="14"/>
                <w:i w:val="1"/>
                <w:iCs w:val="1"/>
                <w:color w:val="auto"/>
              </w:rPr>
              <w:t>Government Portfolio Advisory Class</w:t>
            </w:r>
          </w:p>
        </w:tc>
        <w:tc>
          <w:tcPr>
            <w:tcW w:w="120" w:type="dxa"/>
            <w:vAlign w:val="bottom"/>
            <w:shd w:val="clear" w:color="auto" w:fill="CAEEFB"/>
          </w:tcPr>
          <w:p>
            <w:pPr>
              <w:spacing w:after="0"/>
              <w:rPr>
                <w:sz w:val="15"/>
                <w:szCs w:val="15"/>
                <w:color w:val="auto"/>
              </w:rPr>
            </w:pPr>
          </w:p>
        </w:tc>
        <w:tc>
          <w:tcPr>
            <w:tcW w:w="1780" w:type="dxa"/>
            <w:vAlign w:val="bottom"/>
            <w:shd w:val="clear" w:color="auto" w:fill="CAEEFB"/>
          </w:tcPr>
          <w:p>
            <w:pPr>
              <w:spacing w:after="0"/>
              <w:rPr>
                <w:sz w:val="15"/>
                <w:szCs w:val="15"/>
                <w:color w:val="auto"/>
              </w:rPr>
            </w:pPr>
          </w:p>
        </w:tc>
        <w:tc>
          <w:tcPr>
            <w:tcW w:w="860" w:type="dxa"/>
            <w:vAlign w:val="bottom"/>
            <w:gridSpan w:val="2"/>
            <w:vMerge w:val="continue"/>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900" w:type="dxa"/>
            <w:vAlign w:val="bottom"/>
            <w:vMerge w:val="continue"/>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68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540" w:type="dxa"/>
            <w:vAlign w:val="bottom"/>
            <w:vMerge w:val="continue"/>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140" w:type="dxa"/>
            <w:vAlign w:val="bottom"/>
            <w:shd w:val="clear" w:color="auto" w:fill="CAEEFB"/>
          </w:tcPr>
          <w:p>
            <w:pPr>
              <w:spacing w:after="0"/>
              <w:rPr>
                <w:sz w:val="15"/>
                <w:szCs w:val="15"/>
                <w:color w:val="auto"/>
              </w:rPr>
            </w:pPr>
          </w:p>
        </w:tc>
        <w:tc>
          <w:tcPr>
            <w:tcW w:w="640" w:type="dxa"/>
            <w:vAlign w:val="bottom"/>
            <w:vMerge w:val="continue"/>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140" w:type="dxa"/>
            <w:vAlign w:val="bottom"/>
            <w:shd w:val="clear" w:color="auto" w:fill="CAEEFB"/>
          </w:tcPr>
          <w:p>
            <w:pPr>
              <w:spacing w:after="0"/>
              <w:rPr>
                <w:sz w:val="15"/>
                <w:szCs w:val="15"/>
                <w:color w:val="auto"/>
              </w:rPr>
            </w:pPr>
          </w:p>
        </w:tc>
        <w:tc>
          <w:tcPr>
            <w:tcW w:w="640" w:type="dxa"/>
            <w:vAlign w:val="bottom"/>
            <w:vMerge w:val="continue"/>
            <w:shd w:val="clear" w:color="auto" w:fill="CAEEFB"/>
          </w:tcPr>
          <w:p>
            <w:pPr>
              <w:spacing w:after="0"/>
              <w:rPr>
                <w:sz w:val="15"/>
                <w:szCs w:val="15"/>
                <w:color w:val="auto"/>
              </w:rPr>
            </w:pPr>
          </w:p>
        </w:tc>
        <w:tc>
          <w:tcPr>
            <w:tcW w:w="860" w:type="dxa"/>
            <w:vAlign w:val="bottom"/>
            <w:gridSpan w:val="2"/>
            <w:vMerge w:val="continue"/>
            <w:shd w:val="clear" w:color="auto" w:fill="CAEEFB"/>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60" w:type="dxa"/>
            <w:vAlign w:val="bottom"/>
            <w:shd w:val="clear" w:color="auto" w:fill="CAEEFB"/>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Cash Equivalents</w:t>
            </w:r>
          </w:p>
        </w:tc>
        <w:tc>
          <w:tcPr>
            <w:tcW w:w="120" w:type="dxa"/>
            <w:vAlign w:val="bottom"/>
            <w:shd w:val="clear" w:color="auto" w:fill="CAEEFB"/>
          </w:tcPr>
          <w:p>
            <w:pPr>
              <w:spacing w:after="0"/>
              <w:rPr>
                <w:sz w:val="13"/>
                <w:szCs w:val="13"/>
                <w:color w:val="auto"/>
              </w:rPr>
            </w:pPr>
          </w:p>
        </w:tc>
        <w:tc>
          <w:tcPr>
            <w:tcW w:w="178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74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90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660" w:type="dxa"/>
            <w:vAlign w:val="bottom"/>
            <w:shd w:val="clear" w:color="auto" w:fill="CAEEFB"/>
          </w:tcPr>
          <w:p>
            <w:pPr>
              <w:spacing w:after="0"/>
              <w:rPr>
                <w:sz w:val="13"/>
                <w:szCs w:val="13"/>
                <w:color w:val="auto"/>
              </w:rPr>
            </w:pPr>
          </w:p>
        </w:tc>
        <w:tc>
          <w:tcPr>
            <w:tcW w:w="1000" w:type="dxa"/>
            <w:vAlign w:val="bottom"/>
            <w:gridSpan w:val="4"/>
            <w:shd w:val="clear" w:color="auto" w:fill="CAEEFB"/>
          </w:tcPr>
          <w:p>
            <w:pPr>
              <w:ind w:left="8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AEEFB"/>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309</w:t>
            </w:r>
          </w:p>
        </w:tc>
        <w:tc>
          <w:tcPr>
            <w:tcW w:w="240" w:type="dxa"/>
            <w:vAlign w:val="bottom"/>
            <w:gridSpan w:val="2"/>
            <w:shd w:val="clear" w:color="auto" w:fill="CAEEFB"/>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309</w:t>
            </w:r>
          </w:p>
        </w:tc>
        <w:tc>
          <w:tcPr>
            <w:tcW w:w="240" w:type="dxa"/>
            <w:vAlign w:val="bottom"/>
            <w:gridSpan w:val="2"/>
            <w:shd w:val="clear" w:color="auto" w:fill="CAEEFB"/>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AEEFB"/>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309</w:t>
            </w:r>
          </w:p>
        </w:tc>
        <w:tc>
          <w:tcPr>
            <w:tcW w:w="860" w:type="dxa"/>
            <w:vAlign w:val="bottom"/>
            <w:gridSpan w:val="2"/>
            <w:shd w:val="clear" w:color="auto" w:fill="CAEEFB"/>
          </w:tcPr>
          <w:p>
            <w:pPr>
              <w:jc w:val="right"/>
              <w:spacing w:after="0" w:line="155" w:lineRule="exact"/>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42"/>
        </w:trPr>
        <w:tc>
          <w:tcPr>
            <w:tcW w:w="2560" w:type="dxa"/>
            <w:vAlign w:val="bottom"/>
            <w:tcBorders>
              <w:top w:val="single" w:sz="8" w:color="CAEEFB"/>
            </w:tcBorders>
          </w:tcPr>
          <w:p>
            <w:pPr>
              <w:spacing w:after="0"/>
              <w:rPr>
                <w:sz w:val="12"/>
                <w:szCs w:val="12"/>
                <w:color w:val="auto"/>
              </w:rPr>
            </w:pPr>
          </w:p>
        </w:tc>
        <w:tc>
          <w:tcPr>
            <w:tcW w:w="120" w:type="dxa"/>
            <w:vAlign w:val="bottom"/>
            <w:tcBorders>
              <w:top w:val="single" w:sz="8" w:color="CAEEFB"/>
            </w:tcBorders>
          </w:tcPr>
          <w:p>
            <w:pPr>
              <w:spacing w:after="0"/>
              <w:rPr>
                <w:sz w:val="12"/>
                <w:szCs w:val="12"/>
                <w:color w:val="auto"/>
              </w:rPr>
            </w:pPr>
          </w:p>
        </w:tc>
        <w:tc>
          <w:tcPr>
            <w:tcW w:w="1780" w:type="dxa"/>
            <w:vAlign w:val="bottom"/>
            <w:tcBorders>
              <w:top w:val="single" w:sz="8" w:color="CAEEFB"/>
            </w:tcBorders>
          </w:tcPr>
          <w:p>
            <w:pPr>
              <w:spacing w:after="0"/>
              <w:rPr>
                <w:sz w:val="12"/>
                <w:szCs w:val="12"/>
                <w:color w:val="auto"/>
              </w:rPr>
            </w:pPr>
          </w:p>
        </w:tc>
        <w:tc>
          <w:tcPr>
            <w:tcW w:w="120" w:type="dxa"/>
            <w:vAlign w:val="bottom"/>
            <w:tcBorders>
              <w:top w:val="single" w:sz="8" w:color="CAEEFB"/>
            </w:tcBorders>
          </w:tcPr>
          <w:p>
            <w:pPr>
              <w:spacing w:after="0"/>
              <w:rPr>
                <w:sz w:val="12"/>
                <w:szCs w:val="12"/>
                <w:color w:val="auto"/>
              </w:rPr>
            </w:pPr>
          </w:p>
        </w:tc>
        <w:tc>
          <w:tcPr>
            <w:tcW w:w="740" w:type="dxa"/>
            <w:vAlign w:val="bottom"/>
            <w:tcBorders>
              <w:top w:val="single" w:sz="8" w:color="CAEEFB"/>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900" w:type="dxa"/>
            <w:vAlign w:val="bottom"/>
            <w:tcBorders>
              <w:top w:val="single" w:sz="8" w:color="CAEEFB"/>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660" w:type="dxa"/>
            <w:vAlign w:val="bottom"/>
            <w:tcBorders>
              <w:top w:val="single" w:sz="8" w:color="CAEEFB"/>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680" w:type="dxa"/>
            <w:vAlign w:val="bottom"/>
            <w:tcBorders>
              <w:top w:val="single" w:sz="8" w:color="CAEEFB"/>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AEEFB"/>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6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178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7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90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6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68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20" w:type="dxa"/>
            <w:vAlign w:val="bottom"/>
            <w:shd w:val="clear" w:color="auto" w:fill="CAEEFB"/>
          </w:tcPr>
          <w:p>
            <w:pPr>
              <w:spacing w:after="0"/>
              <w:rPr>
                <w:sz w:val="10"/>
                <w:szCs w:val="10"/>
                <w:color w:val="auto"/>
              </w:rPr>
            </w:pPr>
          </w:p>
        </w:tc>
        <w:tc>
          <w:tcPr>
            <w:tcW w:w="540" w:type="dxa"/>
            <w:vAlign w:val="bottom"/>
            <w:shd w:val="clear" w:color="auto" w:fill="CAEEFB"/>
          </w:tcPr>
          <w:p>
            <w:pPr>
              <w:jc w:val="right"/>
              <w:ind w:right="49"/>
              <w:spacing w:after="0" w:line="119" w:lineRule="exact"/>
              <w:rPr>
                <w:sz w:val="20"/>
                <w:szCs w:val="20"/>
                <w:color w:val="auto"/>
              </w:rPr>
            </w:pPr>
            <w:r>
              <w:rPr>
                <w:rFonts w:ascii="Times New Roman" w:cs="Times New Roman" w:eastAsia="Times New Roman" w:hAnsi="Times New Roman"/>
                <w:sz w:val="13"/>
                <w:szCs w:val="13"/>
                <w:color w:val="auto"/>
              </w:rPr>
              <w:t>343,74</w:t>
            </w: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140" w:type="dxa"/>
            <w:vAlign w:val="bottom"/>
            <w:shd w:val="clear" w:color="auto" w:fill="CAEEFB"/>
          </w:tcPr>
          <w:p>
            <w:pPr>
              <w:spacing w:after="0"/>
              <w:rPr>
                <w:sz w:val="10"/>
                <w:szCs w:val="10"/>
                <w:color w:val="auto"/>
              </w:rPr>
            </w:pPr>
          </w:p>
        </w:tc>
        <w:tc>
          <w:tcPr>
            <w:tcW w:w="640" w:type="dxa"/>
            <w:vAlign w:val="bottom"/>
            <w:shd w:val="clear" w:color="auto" w:fill="CAEEFB"/>
          </w:tcPr>
          <w:p>
            <w:pPr>
              <w:spacing w:after="0"/>
              <w:rPr>
                <w:sz w:val="10"/>
                <w:szCs w:val="10"/>
                <w:color w:val="auto"/>
              </w:rPr>
            </w:pPr>
          </w:p>
        </w:tc>
        <w:tc>
          <w:tcPr>
            <w:tcW w:w="100" w:type="dxa"/>
            <w:vAlign w:val="bottom"/>
            <w:shd w:val="clear" w:color="auto" w:fill="CAEEFB"/>
          </w:tcPr>
          <w:p>
            <w:pPr>
              <w:spacing w:after="0"/>
              <w:rPr>
                <w:sz w:val="10"/>
                <w:szCs w:val="10"/>
                <w:color w:val="auto"/>
              </w:rPr>
            </w:pPr>
          </w:p>
        </w:tc>
        <w:tc>
          <w:tcPr>
            <w:tcW w:w="76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560" w:type="dxa"/>
            <w:vAlign w:val="bottom"/>
            <w:tcBorders>
              <w:bottom w:val="single" w:sz="8" w:color="CAEEFB"/>
            </w:tcBorders>
            <w:shd w:val="clear" w:color="auto" w:fill="CAEEFB"/>
          </w:tcPr>
          <w:p>
            <w:pPr>
              <w:spacing w:after="0"/>
              <w:rPr>
                <w:sz w:val="20"/>
                <w:szCs w:val="20"/>
                <w:color w:val="auto"/>
              </w:rPr>
            </w:pPr>
            <w:r>
              <w:rPr>
                <w:rFonts w:ascii="Times New Roman" w:cs="Times New Roman" w:eastAsia="Times New Roman" w:hAnsi="Times New Roman"/>
                <w:sz w:val="14"/>
                <w:szCs w:val="14"/>
                <w:b w:val="1"/>
                <w:bCs w:val="1"/>
                <w:color w:val="auto"/>
              </w:rPr>
              <w:t>Total Investments and Cash Equivalents</w:t>
            </w:r>
          </w:p>
        </w:tc>
        <w:tc>
          <w:tcPr>
            <w:tcW w:w="120" w:type="dxa"/>
            <w:vAlign w:val="bottom"/>
            <w:tcBorders>
              <w:bottom w:val="single" w:sz="8" w:color="CAEEFB"/>
            </w:tcBorders>
            <w:shd w:val="clear" w:color="auto" w:fill="CAEEFB"/>
          </w:tcPr>
          <w:p>
            <w:pPr>
              <w:spacing w:after="0"/>
              <w:rPr>
                <w:sz w:val="18"/>
                <w:szCs w:val="18"/>
                <w:color w:val="auto"/>
              </w:rPr>
            </w:pPr>
          </w:p>
        </w:tc>
        <w:tc>
          <w:tcPr>
            <w:tcW w:w="1780" w:type="dxa"/>
            <w:vAlign w:val="bottom"/>
            <w:tcBorders>
              <w:bottom w:val="single" w:sz="8" w:color="CAEEFB"/>
            </w:tcBorders>
            <w:shd w:val="clear" w:color="auto" w:fill="CAEEFB"/>
          </w:tcPr>
          <w:p>
            <w:pPr>
              <w:spacing w:after="0"/>
              <w:rPr>
                <w:sz w:val="18"/>
                <w:szCs w:val="18"/>
                <w:color w:val="auto"/>
              </w:rPr>
            </w:pPr>
          </w:p>
        </w:tc>
        <w:tc>
          <w:tcPr>
            <w:tcW w:w="120" w:type="dxa"/>
            <w:vAlign w:val="bottom"/>
            <w:tcBorders>
              <w:bottom w:val="single" w:sz="8" w:color="CAEEFB"/>
            </w:tcBorders>
            <w:shd w:val="clear" w:color="auto" w:fill="CAEEFB"/>
          </w:tcPr>
          <w:p>
            <w:pPr>
              <w:spacing w:after="0"/>
              <w:rPr>
                <w:sz w:val="18"/>
                <w:szCs w:val="18"/>
                <w:color w:val="auto"/>
              </w:rPr>
            </w:pPr>
          </w:p>
        </w:tc>
        <w:tc>
          <w:tcPr>
            <w:tcW w:w="740" w:type="dxa"/>
            <w:vAlign w:val="bottom"/>
            <w:tcBorders>
              <w:bottom w:val="single" w:sz="8" w:color="CAEEFB"/>
            </w:tcBorders>
            <w:shd w:val="clear" w:color="auto" w:fill="CAEEFB"/>
          </w:tcPr>
          <w:p>
            <w:pPr>
              <w:spacing w:after="0"/>
              <w:rPr>
                <w:sz w:val="18"/>
                <w:szCs w:val="18"/>
                <w:color w:val="auto"/>
              </w:rPr>
            </w:pPr>
          </w:p>
        </w:tc>
        <w:tc>
          <w:tcPr>
            <w:tcW w:w="100" w:type="dxa"/>
            <w:vAlign w:val="bottom"/>
            <w:tcBorders>
              <w:bottom w:val="single" w:sz="8" w:color="CAEEFB"/>
            </w:tcBorders>
            <w:shd w:val="clear" w:color="auto" w:fill="CAEEFB"/>
          </w:tcPr>
          <w:p>
            <w:pPr>
              <w:spacing w:after="0"/>
              <w:rPr>
                <w:sz w:val="18"/>
                <w:szCs w:val="18"/>
                <w:color w:val="auto"/>
              </w:rPr>
            </w:pPr>
          </w:p>
        </w:tc>
        <w:tc>
          <w:tcPr>
            <w:tcW w:w="900" w:type="dxa"/>
            <w:vAlign w:val="bottom"/>
            <w:tcBorders>
              <w:bottom w:val="single" w:sz="8" w:color="CAEEFB"/>
            </w:tcBorders>
            <w:shd w:val="clear" w:color="auto" w:fill="CAEEFB"/>
          </w:tcPr>
          <w:p>
            <w:pPr>
              <w:spacing w:after="0"/>
              <w:rPr>
                <w:sz w:val="18"/>
                <w:szCs w:val="18"/>
                <w:color w:val="auto"/>
              </w:rPr>
            </w:pPr>
          </w:p>
        </w:tc>
        <w:tc>
          <w:tcPr>
            <w:tcW w:w="100" w:type="dxa"/>
            <w:vAlign w:val="bottom"/>
            <w:tcBorders>
              <w:bottom w:val="single" w:sz="8" w:color="CAEEFB"/>
            </w:tcBorders>
            <w:shd w:val="clear" w:color="auto" w:fill="CAEEFB"/>
          </w:tcPr>
          <w:p>
            <w:pPr>
              <w:spacing w:after="0"/>
              <w:rPr>
                <w:sz w:val="18"/>
                <w:szCs w:val="18"/>
                <w:color w:val="auto"/>
              </w:rPr>
            </w:pPr>
          </w:p>
        </w:tc>
        <w:tc>
          <w:tcPr>
            <w:tcW w:w="660" w:type="dxa"/>
            <w:vAlign w:val="bottom"/>
            <w:tcBorders>
              <w:bottom w:val="single" w:sz="8" w:color="CAEEFB"/>
            </w:tcBorders>
            <w:shd w:val="clear" w:color="auto" w:fill="CAEEFB"/>
          </w:tcPr>
          <w:p>
            <w:pPr>
              <w:spacing w:after="0"/>
              <w:rPr>
                <w:sz w:val="18"/>
                <w:szCs w:val="18"/>
                <w:color w:val="auto"/>
              </w:rPr>
            </w:pPr>
          </w:p>
        </w:tc>
        <w:tc>
          <w:tcPr>
            <w:tcW w:w="880" w:type="dxa"/>
            <w:vAlign w:val="bottom"/>
            <w:tcBorders>
              <w:bottom w:val="single" w:sz="8" w:color="CAEEFB"/>
            </w:tcBorders>
            <w:gridSpan w:val="3"/>
            <w:shd w:val="clear" w:color="auto" w:fill="CAEEFB"/>
          </w:tcPr>
          <w:p>
            <w:pPr>
              <w:spacing w:after="0"/>
              <w:rPr>
                <w:sz w:val="18"/>
                <w:szCs w:val="18"/>
                <w:color w:val="auto"/>
              </w:rPr>
            </w:pPr>
          </w:p>
        </w:tc>
        <w:tc>
          <w:tcPr>
            <w:tcW w:w="120" w:type="dxa"/>
            <w:vAlign w:val="bottom"/>
            <w:tcBorders>
              <w:bottom w:val="single" w:sz="8" w:color="auto"/>
            </w:tcBorders>
            <w:shd w:val="clear" w:color="auto" w:fill="CAEEFB"/>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AEEFB"/>
          </w:tcPr>
          <w:p>
            <w:pPr>
              <w:jc w:val="right"/>
              <w:ind w:right="49"/>
              <w:spacing w:after="0" w:line="151"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AEEFB"/>
            </w:tcBorders>
            <w:shd w:val="clear" w:color="auto" w:fill="CAEEFB"/>
          </w:tcPr>
          <w:p>
            <w:pPr>
              <w:spacing w:after="0"/>
              <w:rPr>
                <w:sz w:val="18"/>
                <w:szCs w:val="18"/>
                <w:color w:val="auto"/>
              </w:rPr>
            </w:pPr>
          </w:p>
        </w:tc>
        <w:tc>
          <w:tcPr>
            <w:tcW w:w="140" w:type="dxa"/>
            <w:vAlign w:val="bottom"/>
            <w:tcBorders>
              <w:bottom w:val="single" w:sz="8" w:color="auto"/>
            </w:tcBorders>
            <w:shd w:val="clear" w:color="auto" w:fill="CAEEFB"/>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AEEFB"/>
          </w:tcPr>
          <w:p>
            <w:pPr>
              <w:jc w:val="right"/>
              <w:ind w:right="48"/>
              <w:spacing w:after="0" w:line="151" w:lineRule="exact"/>
              <w:rPr>
                <w:sz w:val="20"/>
                <w:szCs w:val="20"/>
                <w:color w:val="auto"/>
              </w:rPr>
            </w:pPr>
            <w:r>
              <w:rPr>
                <w:rFonts w:ascii="Times New Roman" w:cs="Times New Roman" w:eastAsia="Times New Roman" w:hAnsi="Times New Roman"/>
                <w:sz w:val="14"/>
                <w:szCs w:val="14"/>
                <w:color w:val="auto"/>
              </w:rPr>
              <w:t>328,709</w:t>
            </w:r>
          </w:p>
        </w:tc>
        <w:tc>
          <w:tcPr>
            <w:tcW w:w="100" w:type="dxa"/>
            <w:vAlign w:val="bottom"/>
            <w:tcBorders>
              <w:bottom w:val="single" w:sz="8" w:color="CAEEFB"/>
            </w:tcBorders>
            <w:shd w:val="clear" w:color="auto" w:fill="CAEEFB"/>
          </w:tcPr>
          <w:p>
            <w:pPr>
              <w:spacing w:after="0"/>
              <w:rPr>
                <w:sz w:val="18"/>
                <w:szCs w:val="18"/>
                <w:color w:val="auto"/>
              </w:rPr>
            </w:pPr>
          </w:p>
        </w:tc>
        <w:tc>
          <w:tcPr>
            <w:tcW w:w="140" w:type="dxa"/>
            <w:vAlign w:val="bottom"/>
            <w:tcBorders>
              <w:bottom w:val="single" w:sz="8" w:color="auto"/>
            </w:tcBorders>
            <w:shd w:val="clear" w:color="auto" w:fill="CAEEFB"/>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AEEFB"/>
          </w:tcPr>
          <w:p>
            <w:pPr>
              <w:jc w:val="right"/>
              <w:ind w:right="48"/>
              <w:spacing w:after="0" w:line="151" w:lineRule="exact"/>
              <w:rPr>
                <w:sz w:val="20"/>
                <w:szCs w:val="20"/>
                <w:color w:val="auto"/>
              </w:rPr>
            </w:pPr>
            <w:r>
              <w:rPr>
                <w:rFonts w:ascii="Times New Roman" w:cs="Times New Roman" w:eastAsia="Times New Roman" w:hAnsi="Times New Roman"/>
                <w:sz w:val="14"/>
                <w:szCs w:val="14"/>
                <w:color w:val="auto"/>
              </w:rPr>
              <w:t>342,324</w:t>
            </w:r>
          </w:p>
        </w:tc>
        <w:tc>
          <w:tcPr>
            <w:tcW w:w="100" w:type="dxa"/>
            <w:vAlign w:val="bottom"/>
            <w:tcBorders>
              <w:bottom w:val="single" w:sz="8" w:color="CAEEFB"/>
            </w:tcBorders>
            <w:shd w:val="clear" w:color="auto" w:fill="CAEEFB"/>
          </w:tcPr>
          <w:p>
            <w:pPr>
              <w:spacing w:after="0"/>
              <w:rPr>
                <w:sz w:val="18"/>
                <w:szCs w:val="18"/>
                <w:color w:val="auto"/>
              </w:rPr>
            </w:pPr>
          </w:p>
        </w:tc>
        <w:tc>
          <w:tcPr>
            <w:tcW w:w="760" w:type="dxa"/>
            <w:vAlign w:val="bottom"/>
            <w:tcBorders>
              <w:bottom w:val="single" w:sz="8" w:color="auto"/>
            </w:tcBorders>
            <w:shd w:val="clear" w:color="auto" w:fill="CAEEFB"/>
          </w:tcPr>
          <w:p>
            <w:pPr>
              <w:jc w:val="right"/>
              <w:spacing w:after="0" w:line="151" w:lineRule="exact"/>
              <w:rPr>
                <w:sz w:val="20"/>
                <w:szCs w:val="20"/>
                <w:color w:val="auto"/>
              </w:rPr>
            </w:pPr>
            <w:r>
              <w:rPr>
                <w:rFonts w:ascii="Times New Roman" w:cs="Times New Roman" w:eastAsia="Times New Roman" w:hAnsi="Times New Roman"/>
                <w:sz w:val="14"/>
                <w:szCs w:val="14"/>
                <w:color w:val="auto"/>
              </w:rPr>
              <w:t>277.9 %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-2091055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-2091055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-2091055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-1893570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-1893570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-1893570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-1388110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-1388110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-1388110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-325120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-325120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-325120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380" w:right="140" w:hanging="372"/>
        <w:spacing w:after="0" w:line="233" w:lineRule="auto"/>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ownership may be held in shares or units of companies affiliated with the portfolio company. The Company’s investments are generally classified as “restricted securities” as such term is defined under Regulation S-X Rule 6-03(f) or Securities Act Rule 144.</w:t>
      </w:r>
    </w:p>
    <w:p>
      <w:pPr>
        <w:ind w:left="380" w:right="40" w:hanging="372"/>
        <w:spacing w:after="0"/>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 Company held loans and mezzanine debt investments with an aggregate fair value of $168,018 that bore interest at a variable rate indexed to SOFR or Prime, and reset monthly, quarterly, or semi-annually. For each variable-rate investment, the Company has provided the spread over the reference rate and current interest rate in effect as of December 31, 2025. Unless otherwise noted, all investments with a stated PIK rate require interest payments with the issuance of additional securities as payment of the entire PIK provision.</w:t>
      </w:r>
    </w:p>
    <w:p>
      <w:pPr>
        <w:spacing w:after="0" w:line="111" w:lineRule="exact"/>
        <w:rPr>
          <w:rFonts w:ascii="Times New Roman" w:cs="Times New Roman" w:eastAsia="Times New Roman" w:hAnsi="Times New Roman"/>
          <w:sz w:val="14"/>
          <w:szCs w:val="14"/>
          <w:color w:val="auto"/>
        </w:rPr>
      </w:pPr>
    </w:p>
    <w:p>
      <w:pPr>
        <w:ind w:left="380" w:right="200" w:hanging="372"/>
        <w:spacing w:after="0" w:line="221" w:lineRule="auto"/>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otherwise noted with footnote 14, fair value was determined using significant unobservable inputs for all of the Company’s investments and are considered Level 3 under GAAP. See </w:t>
      </w:r>
      <w:r>
        <w:rPr>
          <w:rFonts w:ascii="Times New Roman" w:cs="Times New Roman" w:eastAsia="Times New Roman" w:hAnsi="Times New Roman"/>
          <w:sz w:val="14"/>
          <w:szCs w:val="14"/>
          <w:b w:val="1"/>
          <w:bCs w:val="1"/>
          <w:color w:val="auto"/>
        </w:rPr>
        <w:t>Note 5</w:t>
      </w:r>
      <w:r>
        <w:rPr>
          <w:rFonts w:ascii="Times New Roman" w:cs="Times New Roman" w:eastAsia="Times New Roman" w:hAnsi="Times New Roman"/>
          <w:sz w:val="14"/>
          <w:szCs w:val="14"/>
          <w:color w:val="auto"/>
        </w:rPr>
        <w:t xml:space="preserve"> for further details.</w:t>
      </w:r>
    </w:p>
    <w:p>
      <w:pPr>
        <w:ind w:left="380" w:right="20" w:hanging="372"/>
        <w:spacing w:after="0" w:line="230" w:lineRule="auto"/>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 effective accretable yield was estimated to be 0%, as the aggregate amount of projected distributions, including projected distributions related to liquidation of the underlying portfolio upon the security's anticipated optional redemption, was less than current amortized cost. Projected distributions are periodically monitored and re-evaluated. All actual distributions were recognized as reductions to amortized cost until such time, if and when occurring, a future aggregate amount of then-projected distributions exceeds the security's then-current amortized cost.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0"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unfunded commitments. The Company considers undrawn amounts in the determination of fair value on revolving lines of credit and delayed draw term loans. See </w:t>
      </w:r>
      <w:r>
        <w:rPr>
          <w:rFonts w:ascii="Times New Roman" w:cs="Times New Roman" w:eastAsia="Times New Roman" w:hAnsi="Times New Roman"/>
          <w:sz w:val="14"/>
          <w:szCs w:val="14"/>
          <w:b w:val="1"/>
          <w:bCs w:val="1"/>
          <w:color w:val="auto"/>
        </w:rPr>
        <w:t>Note 6</w:t>
      </w:r>
      <w:r>
        <w:rPr>
          <w:rFonts w:ascii="Times New Roman" w:cs="Times New Roman" w:eastAsia="Times New Roman" w:hAnsi="Times New Roman"/>
          <w:sz w:val="14"/>
          <w:szCs w:val="14"/>
          <w:color w:val="auto"/>
        </w:rPr>
        <w:t>.</w:t>
      </w:r>
    </w:p>
    <w:p>
      <w:pPr>
        <w:spacing w:after="0" w:line="5"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 was on non-accrual status as of December 31, 2025, meaning the Company suspended recognition of all or a portion of income on the investment. See </w:t>
      </w:r>
      <w:r>
        <w:rPr>
          <w:rFonts w:ascii="Times New Roman" w:cs="Times New Roman" w:eastAsia="Times New Roman" w:hAnsi="Times New Roman"/>
          <w:sz w:val="14"/>
          <w:szCs w:val="14"/>
          <w:b w:val="1"/>
          <w:bCs w:val="1"/>
          <w:color w:val="auto"/>
        </w:rPr>
        <w:t>Note 4</w:t>
      </w:r>
      <w:r>
        <w:rPr>
          <w:rFonts w:ascii="Times New Roman" w:cs="Times New Roman" w:eastAsia="Times New Roman" w:hAnsi="Times New Roman"/>
          <w:sz w:val="14"/>
          <w:szCs w:val="14"/>
          <w:color w:val="auto"/>
        </w:rPr>
        <w:t xml:space="preserve"> for further details.</w:t>
      </w:r>
    </w:p>
    <w:p>
      <w:pPr>
        <w:ind w:left="380" w:hanging="372"/>
        <w:spacing w:after="0" w:line="221"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participation rights issued by unaffiliated third party fully covered with underlying positions in the portfolio company.</w:t>
      </w:r>
    </w:p>
    <w:p>
      <w:pPr>
        <w:ind w:left="380" w:right="280" w:hanging="372"/>
        <w:spacing w:after="0" w:line="221"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Non-qualifying assets under Section 55(a) of the 1940 Act. Qualifying assets as defined in Section 55 of the 1940 Act must represent at least 70% of the Company's assets immediately following the acquisition of any additional non-qualifying assets. As of December 31, 2025, approximately 81% of the Company's assets were qualifying assets.</w:t>
      </w:r>
    </w:p>
    <w:p>
      <w:pPr>
        <w:ind w:left="380" w:right="160" w:hanging="372"/>
        <w:spacing w:after="0" w:line="221"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disclosed on subordinated note investments is the estimated effective yield, generally established at purchase, and reevaluated upon the receipt of the initial distribution and each subsequent quarter thereafter. The estimated effective yield is based upon projected amounts and timing of future distributions and the projected amounts and timing of terminal principal payments at the time of estimation. The estimated effective yield and investment cost may ultimately not be realized. Projected cash flows, including the amounts and timing of terminal principal payments, which generally are projected to occur prior to the contractual maturity date, were utilized in deriving the effective yield of the investments.</w:t>
      </w:r>
    </w:p>
    <w:p>
      <w:pPr>
        <w:spacing w:after="0" w:line="1"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Non-income producing.</w:t>
      </w:r>
    </w:p>
    <w:p>
      <w:pPr>
        <w:ind w:left="380" w:right="40" w:hanging="372"/>
        <w:spacing w:after="0" w:line="221"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on these investments contains a PIK provision, whereby the issuer has the option to make interest payments in cash or with the issuance of additional securities as payment of the entire PIK provision. The interest rate in the schedule represents the current interest rate in effect for these investments. The following table provides additional details on these PIK investments, including the maximum annual PIK interest rate allowed as of December 31, 2025:</w:t>
      </w:r>
    </w:p>
    <w:tbl>
      <w:tblPr>
        <w:tblLayout w:type="fixed"/>
        <w:tblInd w:w="0" w:type="dxa"/>
        <w:tblCellMar>
          <w:top w:w="0" w:type="dxa"/>
          <w:left w:w="0" w:type="dxa"/>
          <w:bottom w:w="0" w:type="dxa"/>
          <w:right w:w="0" w:type="dxa"/>
        </w:tblCellMar>
      </w:tblPr>
      <w:tr>
        <w:trPr>
          <w:trHeight w:val="13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1"/>
                <w:szCs w:val="11"/>
                <w:color w:val="auto"/>
              </w:rPr>
            </w:pPr>
          </w:p>
        </w:tc>
        <w:tc>
          <w:tcPr>
            <w:tcW w:w="18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40" w:type="dxa"/>
            <w:vAlign w:val="bottom"/>
          </w:tcPr>
          <w:p>
            <w:pPr>
              <w:spacing w:after="0"/>
              <w:rPr>
                <w:sz w:val="11"/>
                <w:szCs w:val="11"/>
                <w:color w:val="auto"/>
              </w:rPr>
            </w:pPr>
          </w:p>
        </w:tc>
        <w:tc>
          <w:tcPr>
            <w:tcW w:w="14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Maximum PIK</w:t>
            </w:r>
          </w:p>
        </w:tc>
        <w:tc>
          <w:tcPr>
            <w:tcW w:w="100" w:type="dxa"/>
            <w:vAlign w:val="bottom"/>
          </w:tcPr>
          <w:p>
            <w:pPr>
              <w:spacing w:after="0"/>
              <w:rPr>
                <w:sz w:val="11"/>
                <w:szCs w:val="11"/>
                <w:color w:val="auto"/>
              </w:rPr>
            </w:pPr>
          </w:p>
        </w:tc>
        <w:tc>
          <w:tcPr>
            <w:tcW w:w="14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Range of PIK</w:t>
            </w:r>
          </w:p>
        </w:tc>
        <w:tc>
          <w:tcPr>
            <w:tcW w:w="120" w:type="dxa"/>
            <w:vAlign w:val="bottom"/>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Range of Cash</w:t>
            </w:r>
          </w:p>
        </w:tc>
        <w:tc>
          <w:tcPr>
            <w:tcW w:w="0" w:type="dxa"/>
            <w:vAlign w:val="bottom"/>
          </w:tcPr>
          <w:p>
            <w:pPr>
              <w:spacing w:after="0"/>
              <w:rPr>
                <w:sz w:val="1"/>
                <w:szCs w:val="1"/>
                <w:color w:val="auto"/>
              </w:rPr>
            </w:pPr>
          </w:p>
        </w:tc>
      </w:tr>
      <w:tr>
        <w:trPr>
          <w:trHeight w:val="173"/>
        </w:trPr>
        <w:tc>
          <w:tcPr>
            <w:tcW w:w="4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 Allowed</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2"/>
        </w:trPr>
        <w:tc>
          <w:tcPr>
            <w:tcW w:w="4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Avison Young Inc.</w:t>
            </w:r>
          </w:p>
        </w:tc>
        <w:tc>
          <w:tcPr>
            <w:tcW w:w="1980" w:type="dxa"/>
            <w:vAlign w:val="bottom"/>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shd w:val="clear" w:color="auto" w:fill="CFF0FC"/>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rPr>
              <w:t>8.50 %</w:t>
            </w:r>
          </w:p>
        </w:tc>
        <w:tc>
          <w:tcPr>
            <w:tcW w:w="100" w:type="dxa"/>
            <w:vAlign w:val="bottom"/>
            <w:shd w:val="clear" w:color="auto" w:fill="CFF0FC"/>
          </w:tcPr>
          <w:p>
            <w:pPr>
              <w:spacing w:after="0"/>
              <w:rPr>
                <w:sz w:val="12"/>
                <w:szCs w:val="12"/>
                <w:color w:val="auto"/>
              </w:rPr>
            </w:pPr>
          </w:p>
        </w:tc>
        <w:tc>
          <w:tcPr>
            <w:tcW w:w="140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0% to 8.50%</w:t>
            </w: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3.70% to 12.20%</w:t>
            </w: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Avison Young Inc.</w:t>
            </w:r>
          </w:p>
        </w:tc>
        <w:tc>
          <w:tcPr>
            <w:tcW w:w="19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5.85 %</w:t>
            </w: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5.85%</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5.20% to 11.05%</w:t>
            </w:r>
          </w:p>
        </w:tc>
        <w:tc>
          <w:tcPr>
            <w:tcW w:w="0" w:type="dxa"/>
            <w:vAlign w:val="bottom"/>
          </w:tcPr>
          <w:p>
            <w:pPr>
              <w:spacing w:after="0"/>
              <w:rPr>
                <w:sz w:val="1"/>
                <w:szCs w:val="1"/>
                <w:color w:val="auto"/>
              </w:rPr>
            </w:pPr>
          </w:p>
        </w:tc>
      </w:tr>
      <w:tr>
        <w:trPr>
          <w:trHeight w:val="148"/>
        </w:trPr>
        <w:tc>
          <w:tcPr>
            <w:tcW w:w="46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Avison Young Inc.</w:t>
            </w:r>
          </w:p>
        </w:tc>
        <w:tc>
          <w:tcPr>
            <w:tcW w:w="198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6.50 %</w:t>
            </w:r>
          </w:p>
        </w:tc>
        <w:tc>
          <w:tcPr>
            <w:tcW w:w="100" w:type="dxa"/>
            <w:vAlign w:val="bottom"/>
            <w:shd w:val="clear" w:color="auto" w:fill="CFF0FC"/>
          </w:tcPr>
          <w:p>
            <w:pPr>
              <w:spacing w:after="0"/>
              <w:rPr>
                <w:sz w:val="12"/>
                <w:szCs w:val="12"/>
                <w:color w:val="auto"/>
              </w:rPr>
            </w:pPr>
          </w:p>
        </w:tc>
        <w:tc>
          <w:tcPr>
            <w:tcW w:w="14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6.50%</w:t>
            </w: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5.49% to 11.99%</w:t>
            </w: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Avison Young Inc.</w:t>
            </w:r>
          </w:p>
        </w:tc>
        <w:tc>
          <w:tcPr>
            <w:tcW w:w="19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6.50 %</w:t>
            </w: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6.50%</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5.60% to 12.10%</w:t>
            </w:r>
          </w:p>
        </w:tc>
        <w:tc>
          <w:tcPr>
            <w:tcW w:w="0" w:type="dxa"/>
            <w:vAlign w:val="bottom"/>
          </w:tcPr>
          <w:p>
            <w:pPr>
              <w:spacing w:after="0"/>
              <w:rPr>
                <w:sz w:val="1"/>
                <w:szCs w:val="1"/>
                <w:color w:val="auto"/>
              </w:rPr>
            </w:pPr>
          </w:p>
        </w:tc>
      </w:tr>
      <w:tr>
        <w:trPr>
          <w:trHeight w:val="149"/>
        </w:trPr>
        <w:tc>
          <w:tcPr>
            <w:tcW w:w="46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JP Intermediate B, LLC</w:t>
            </w:r>
          </w:p>
        </w:tc>
        <w:tc>
          <w:tcPr>
            <w:tcW w:w="198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4.00 %</w:t>
            </w:r>
          </w:p>
        </w:tc>
        <w:tc>
          <w:tcPr>
            <w:tcW w:w="100" w:type="dxa"/>
            <w:vAlign w:val="bottom"/>
            <w:shd w:val="clear" w:color="auto" w:fill="CFF0FC"/>
          </w:tcPr>
          <w:p>
            <w:pPr>
              <w:spacing w:after="0"/>
              <w:rPr>
                <w:sz w:val="12"/>
                <w:szCs w:val="12"/>
                <w:color w:val="auto"/>
              </w:rPr>
            </w:pPr>
          </w:p>
        </w:tc>
        <w:tc>
          <w:tcPr>
            <w:tcW w:w="14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4.00%</w:t>
            </w: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5.17% to 9.17%</w:t>
            </w: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Kreg, LLC</w:t>
            </w:r>
          </w:p>
        </w:tc>
        <w:tc>
          <w:tcPr>
            <w:tcW w:w="19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0.50 %</w:t>
            </w: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0.50%</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10.07% to 10.57%</w:t>
            </w:r>
          </w:p>
        </w:tc>
        <w:tc>
          <w:tcPr>
            <w:tcW w:w="0" w:type="dxa"/>
            <w:vAlign w:val="bottom"/>
          </w:tcPr>
          <w:p>
            <w:pPr>
              <w:spacing w:after="0"/>
              <w:rPr>
                <w:sz w:val="1"/>
                <w:szCs w:val="1"/>
                <w:color w:val="auto"/>
              </w:rPr>
            </w:pPr>
          </w:p>
        </w:tc>
      </w:tr>
      <w:tr>
        <w:trPr>
          <w:trHeight w:val="148"/>
        </w:trPr>
        <w:tc>
          <w:tcPr>
            <w:tcW w:w="46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RideNow Group, Inc. (F/K/A RumbleOn, Inc.)</w:t>
            </w:r>
          </w:p>
        </w:tc>
        <w:tc>
          <w:tcPr>
            <w:tcW w:w="198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FF0FC"/>
          </w:tcPr>
          <w:p>
            <w:pPr>
              <w:spacing w:after="0"/>
              <w:rPr>
                <w:sz w:val="12"/>
                <w:szCs w:val="12"/>
                <w:color w:val="auto"/>
              </w:rPr>
            </w:pPr>
          </w:p>
        </w:tc>
        <w:tc>
          <w:tcPr>
            <w:tcW w:w="14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1.0%</w:t>
            </w: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10.85% to 11.85%</w:t>
            </w: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RideNow Group, Inc. (F/K/A RumbleOn, Inc.)</w:t>
            </w:r>
          </w:p>
        </w:tc>
        <w:tc>
          <w:tcPr>
            <w:tcW w:w="19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1.0%</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10.85% to 11.85%</w:t>
            </w:r>
          </w:p>
        </w:tc>
        <w:tc>
          <w:tcPr>
            <w:tcW w:w="0" w:type="dxa"/>
            <w:vAlign w:val="bottom"/>
          </w:tcPr>
          <w:p>
            <w:pPr>
              <w:spacing w:after="0"/>
              <w:rPr>
                <w:sz w:val="1"/>
                <w:szCs w:val="1"/>
                <w:color w:val="auto"/>
              </w:rPr>
            </w:pPr>
          </w:p>
        </w:tc>
      </w:tr>
      <w:tr>
        <w:trPr>
          <w:trHeight w:val="148"/>
        </w:trPr>
        <w:tc>
          <w:tcPr>
            <w:tcW w:w="46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Wellful Inc. (F/K/A KNS Acquisition Corp.)</w:t>
            </w:r>
          </w:p>
        </w:tc>
        <w:tc>
          <w:tcPr>
            <w:tcW w:w="198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First Lien Debt</w:t>
            </w:r>
          </w:p>
        </w:tc>
        <w:tc>
          <w:tcPr>
            <w:tcW w:w="154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1.75 %</w:t>
            </w:r>
          </w:p>
        </w:tc>
        <w:tc>
          <w:tcPr>
            <w:tcW w:w="100" w:type="dxa"/>
            <w:vAlign w:val="bottom"/>
            <w:shd w:val="clear" w:color="auto" w:fill="CFF0FC"/>
          </w:tcPr>
          <w:p>
            <w:pPr>
              <w:spacing w:after="0"/>
              <w:rPr>
                <w:sz w:val="12"/>
                <w:szCs w:val="12"/>
                <w:color w:val="auto"/>
              </w:rPr>
            </w:pPr>
          </w:p>
        </w:tc>
        <w:tc>
          <w:tcPr>
            <w:tcW w:w="14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 to 1.75%</w:t>
            </w: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8.33% to 10.08%</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expiration date of the warrants.</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investment held by a wholly owned subsidiary subject to income tax.</w:t>
      </w:r>
    </w:p>
    <w:p>
      <w:pPr>
        <w:ind w:left="380" w:hanging="372"/>
        <w:spacing w:after="0" w:line="22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Fair value was determined by reference to observable inputs other than quoted prices in active markets and are considered Level 2 under GAAP. See </w:t>
      </w:r>
      <w:r>
        <w:rPr>
          <w:rFonts w:ascii="Times New Roman" w:cs="Times New Roman" w:eastAsia="Times New Roman" w:hAnsi="Times New Roman"/>
          <w:sz w:val="14"/>
          <w:szCs w:val="14"/>
          <w:b w:val="1"/>
          <w:bCs w:val="1"/>
          <w:color w:val="auto"/>
        </w:rPr>
        <w:t>Note 5</w:t>
      </w:r>
      <w:r>
        <w:rPr>
          <w:rFonts w:ascii="Times New Roman" w:cs="Times New Roman" w:eastAsia="Times New Roman" w:hAnsi="Times New Roman"/>
          <w:sz w:val="14"/>
          <w:szCs w:val="14"/>
          <w:color w:val="auto"/>
        </w:rPr>
        <w:t xml:space="preserve"> for further details.</w:t>
      </w:r>
    </w:p>
    <w:p>
      <w:pPr>
        <w:ind w:left="380" w:hanging="372"/>
        <w:spacing w:after="0" w:line="22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(or a portion thereof) held by OFSCC-FS. These assets are pledged as collateral of the BNP Facility and cannot be pledged under any other debt obligation of the Company.</w:t>
      </w:r>
    </w:p>
    <w:p>
      <w:pPr>
        <w:ind w:left="380" w:right="100" w:hanging="372"/>
        <w:spacing w:after="0" w:line="22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Amortized cost reflects accretion of effective yield less any cash distributions received or entitled to be received from CLO subordinated note investments. CLO subordinated note positions are entitled to recurring distributions, which are generally equal to the residual cash flow of payments received on underlying securities less contractual payments to debt holders and fund expenses.</w:t>
      </w:r>
    </w:p>
    <w:p>
      <w:pPr>
        <w:ind w:left="380" w:hanging="372"/>
        <w:spacing w:after="0" w:line="22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holds at least one seat on the portfolio company’s board of directors.</w:t>
      </w:r>
    </w:p>
    <w:p>
      <w:pPr>
        <w:ind w:left="380" w:right="280" w:hanging="372"/>
        <w:spacing w:after="0" w:line="22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 as there is no outstanding balance on the revolver or delayed draw loan. The Company earns unfunded commitment fees on undrawn revolving lines of credit balances, which are reported in fee income.</w:t>
      </w:r>
    </w:p>
    <w:p>
      <w:pPr>
        <w:ind w:left="380" w:hanging="372"/>
        <w:spacing w:after="0" w:line="22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an observer seat on the portfolio company’s board of directors.</w:t>
      </w:r>
    </w:p>
    <w:p>
      <w:pPr>
        <w:ind w:left="380" w:hanging="372"/>
        <w:spacing w:after="0" w:line="22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at fair value represents greater than 5% of total assets at December 31, 2025.</w:t>
      </w:r>
    </w:p>
    <w:p>
      <w:pPr>
        <w:ind w:left="380" w:hanging="372"/>
        <w:spacing w:after="0" w:line="22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the right to receive certain information provided to the board of directors.</w:t>
      </w:r>
    </w:p>
    <w:p>
      <w:pPr>
        <w:ind w:left="380" w:right="220" w:hanging="372"/>
        <w:spacing w:after="0" w:line="22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investments became contractually due on December 22, 2025. The lending group has entered into a forbearance agreement extending the maturity date of the investments. During this period, the Company continues to accrue interest and receive principal amortization payments on the investments.</w:t>
      </w:r>
    </w:p>
    <w:p>
      <w:pPr>
        <w:ind w:left="380" w:hanging="372"/>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equivalents held in a money market fund as of December 31, 2025. The Company also had cash deposits of $3,050 as of December 31, 2025.</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OFS Capital Corporation, a Delaware corporation, is an externally managed, closed-end, non-diversified management investment company. The Company has elected to be regulated as a BDC under the 1940 Act. In addition, for income tax purposes, the Company has elected to be treated, and intends to qualify annually, as a RIC under Subchapter M of the Code.</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investment objective is to provide stockholders with both current income and capital appreciation primarily through debt investments and, to a lesser extent, equity investments.</w:t>
      </w:r>
    </w:p>
    <w:p>
      <w:pPr>
        <w:spacing w:after="0" w:line="5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OFS Advisor manages the day-to-day operations of, and provides investment advisory services to, the Company. In addition, OFS Advisor serves as the investment adviser to HPCI, a non-traded BDC with an investment strategy and objective similar to that of the Company. OFS Advisor also serves as the investment adviser to OCCI, a non-diversified, externally managed, closed-end management investment company that is registered as an investment company under the 1940 Act and that primarily invests in Structured Finance Securities. Additionally, OFS Advisor serves as the investment adviser to separately-managed accounts and sub-advisor to investment companies managed by an affiliate.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make investments directly or through one or more of its subsidiaries: OFSCC-FS, SBIC I LP or OFSCC-MB.</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OFSCC-FS, an indirect wholly owned and consolidated subsidiary of the Company, is a special-purpose vehicle formed in April 2019 for the purpose of acquiring senior secured loan investments. OFSCC-FS has debt financing through its Natixis Facility, which provides OFSCC-FS with borrowing capacity of up to $80,000 during its reinvestment period, subject to a borrowing base and other covenants.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SBIC I LP is an investment company subsidiary previously licensed under the SBA’s small business investment company program that was subject to SBA regulations and policies. On March 1, 2024, SBIC I LP fully repaid its outstanding SBA debentures and, on April 17, 2024, surrendered its license to operate as a SBIC.</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OFSCC-MB is a wholly owned and consolidated subsidiary taxed under subchapter C of the Code that generally holds the Company’s equity investments in portfolio companies that are taxed as pass-through entities.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Company is an investment company as defined in the accounting and reporting guidance under ASC Topic 946,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Services–Investment Companies</w:t>
      </w:r>
      <w:r>
        <w:rPr>
          <w:rFonts w:ascii="Times New Roman" w:cs="Times New Roman" w:eastAsia="Times New Roman" w:hAnsi="Times New Roman"/>
          <w:sz w:val="18"/>
          <w:szCs w:val="18"/>
          <w:color w:val="auto"/>
        </w:rPr>
        <w:t>. The accompanying interim consolidated financial statements of the Company and related financial information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in accordance with GAAP for interim financial information and pursuant to the requirements for reporting on Form 10-Q, and Articles 6, 10 and 12 of Regulation S-X. Accordingly, they do not include all of the information and notes required by GAAP for annual financial statements. However, in the opinion of management, the consolidated financial statements include all adjustments, consisting only of normal and recurring accruals and adjustments, necessary for fair presentation as of, and for, the periods presented. These consolidated financial statements and notes hereto should be read in conjunction with the consolidated financial statements and notes thereto included in the Company's Annual Report on Form 10-K for the year ended December 31, 2025, filed on March 3, 2026. The results of operations for any interim period are not necessarily indicative of the results of operations to be expected for the full year.</w:t>
      </w:r>
    </w:p>
    <w:p>
      <w:pPr>
        <w:spacing w:after="0" w:line="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The following information supplements the description of significant accounting policies contained in Note 2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consolidated financial statements included in the Company’s Annual Report on Form 10-K for the year ended December 31, 2025.</w:t>
      </w:r>
    </w:p>
    <w:p>
      <w:pPr>
        <w:spacing w:after="0" w:line="4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Certain prior period amounts have been reclassified to conform to the current period presentation in the consolidated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and the accompanying notes thereto. Reclassifications did not impact net increase (decrease) in net assets resulting from operations, total assets, total liabilities or total net assets, or consolidated statements of changes in net assets and consolidated statements of cash flows classifications.</w:t>
      </w:r>
    </w:p>
    <w:p>
      <w:pPr>
        <w:spacing w:after="0" w:line="6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significantly from those estimates.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Aside from the Company’s investments, financial instruments that potentially subject the Company to concentrations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 risk consist principally of cash deposits at financial institutions. At various times during the year, the Company exceeds the federally insured limits. The Company places cash deposits only with high credit quality institutions which OFS Advisor believes will mitigate the risk of loss due to credit risk. If borrowers completely fail to perform according to the terms of the contracts, the amount of loss due to credit risk from the Company’s investments is equal to the sum of the Company’s recorded investments and, if applicable, the unfunded commitments disclosed in </w:t>
      </w:r>
      <w:r>
        <w:rPr>
          <w:rFonts w:ascii="Times New Roman" w:cs="Times New Roman" w:eastAsia="Times New Roman" w:hAnsi="Times New Roman"/>
          <w:sz w:val="18"/>
          <w:szCs w:val="18"/>
          <w:b w:val="1"/>
          <w:bCs w:val="1"/>
          <w:color w:val="auto"/>
        </w:rPr>
        <w:t>Note 6</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represents cash deposits held at U.S. Bank Trust Company, National Association and Citibank N.A., and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consist of highly liquid money market funds. Cash equivalents are classified as Level 1 assets and are carried at amortized cost which approximates fair value. The Company’s cash and cash equivalents are maintained with member banks of the FDIC, and, such balances generally exceed the FDIC insurance limits. The Company does not believe its cash and cash equivalent balances are exposed to any significant credit risk. In addition, the Company’s use of cash and cash equivalents held by OFSCC-FS is limited by the terms and conditions of the Natixis Facility, including but not limited to, the payment of interest expense and principal on the outstanding borrowings.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cash and cash equivalents as of March 31, 2026 and December 31, 2025: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r>
      <w:tr>
        <w:trPr>
          <w:trHeight w:val="209"/>
        </w:trPr>
        <w:tc>
          <w:tcPr>
            <w:tcW w:w="6440" w:type="dxa"/>
            <w:vAlign w:val="bottom"/>
            <w:shd w:val="clear" w:color="auto" w:fill="C1E5F5"/>
          </w:tcPr>
          <w:p>
            <w:pPr>
              <w:spacing w:after="0"/>
              <w:rPr>
                <w:sz w:val="20"/>
                <w:szCs w:val="20"/>
                <w:color w:val="auto"/>
              </w:rPr>
            </w:pPr>
            <w:r>
              <w:rPr>
                <w:rFonts w:ascii="Times New Roman" w:cs="Times New Roman" w:eastAsia="Times New Roman" w:hAnsi="Times New Roman"/>
                <w:sz w:val="18"/>
                <w:szCs w:val="18"/>
                <w:color w:val="auto"/>
              </w:rPr>
              <w:t>Cash</w:t>
            </w:r>
          </w:p>
        </w:tc>
        <w:tc>
          <w:tcPr>
            <w:tcW w:w="1820" w:type="dxa"/>
            <w:vAlign w:val="bottom"/>
            <w:shd w:val="clear" w:color="auto" w:fill="C1E5F5"/>
          </w:tcPr>
          <w:p>
            <w:pPr>
              <w:jc w:val="right"/>
              <w:ind w:right="165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460" w:type="dxa"/>
            <w:vAlign w:val="bottom"/>
            <w:gridSpan w:val="2"/>
            <w:shd w:val="clear" w:color="auto" w:fill="C1E5F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shd w:val="clear" w:color="auto" w:fill="C1E5F5"/>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r>
      <w:tr>
        <w:trPr>
          <w:trHeight w:val="229"/>
        </w:trPr>
        <w:tc>
          <w:tcPr>
            <w:tcW w:w="6440" w:type="dxa"/>
            <w:vAlign w:val="bottom"/>
            <w:shd w:val="clear" w:color="auto" w:fill="C1E5F5"/>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820" w:type="dxa"/>
            <w:vAlign w:val="bottom"/>
            <w:shd w:val="clear" w:color="auto" w:fill="C1E5F5"/>
          </w:tcPr>
          <w:p>
            <w:pPr>
              <w:jc w:val="right"/>
              <w:ind w:right="165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460" w:type="dxa"/>
            <w:vAlign w:val="bottom"/>
            <w:gridSpan w:val="2"/>
            <w:shd w:val="clear" w:color="auto" w:fill="C1E5F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1E5F5"/>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shd w:val="clear" w:color="auto" w:fill="C1E5F5"/>
          </w:tcPr>
          <w:p>
            <w:pPr>
              <w:spacing w:after="0"/>
              <w:rPr>
                <w:sz w:val="19"/>
                <w:szCs w:val="19"/>
                <w:color w:val="auto"/>
              </w:rPr>
            </w:pPr>
          </w:p>
        </w:tc>
      </w:tr>
      <w:tr>
        <w:trPr>
          <w:trHeight w:val="20"/>
        </w:trPr>
        <w:tc>
          <w:tcPr>
            <w:tcW w:w="6440" w:type="dxa"/>
            <w:vAlign w:val="bottom"/>
            <w:tcBorders>
              <w:top w:val="single" w:sz="8" w:color="C1E5F5"/>
            </w:tcBorders>
            <w:shd w:val="clear" w:color="auto" w:fill="C1E5F5"/>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1E5F5"/>
            </w:tcBorders>
            <w:shd w:val="clear" w:color="auto" w:fill="C1E5F5"/>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1E5F5"/>
            </w:tcBorders>
            <w:shd w:val="clear" w:color="auto" w:fill="C1E5F5"/>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Related Party Transactions</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Investment Advisory and Management Agreement: </w:t>
      </w:r>
      <w:r>
        <w:rPr>
          <w:rFonts w:ascii="Times New Roman" w:cs="Times New Roman" w:eastAsia="Times New Roman" w:hAnsi="Times New Roman"/>
          <w:sz w:val="18"/>
          <w:szCs w:val="18"/>
          <w:color w:val="auto"/>
        </w:rPr>
        <w:t>OFS Advisor manages the day-to-day operations of, and provides investment advisory services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pursuant to the Investment Advisory Agreement. The continuation of the Investment Advisory Agreement was most recently approved by the Board on April 2, 2026. Under the terms of the Investment Advisory Agreement, which are in accordance with the 1940 Act and subject to the overall supervision of the Board, OFS Advisor is responsible for sourcing potential investments, conducting research and diligence on potential investments and equity sponsors, analyzing investment opportunities, structuring investments, and monitoring investments and portfolio companies on an ongoing basis.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OFS Advisor’s services under the Investment Advisory Agreement are not exclusive to the Company and OFS Advisor is free to furnish similar services to other entities, including other funds affiliated with OFS Advisor, so long as its services to the Company are not impaired. OFS Advisor also serves as the investment adviser or sub-adviser to various clients, including HPCI and OCCI.</w:t>
      </w:r>
    </w:p>
    <w:p>
      <w:pPr>
        <w:spacing w:after="0" w:line="6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OFS Advisor receives fees for providing services to the Company, consisting of two components: a base management fee and an incentive fee. The base management fee is calculated at an annual rate of 1.75% and based on the average value of the Company’s total assets (other than cash and cash equivalents, but including assets purchased with borrowed amounts and assets owned by any consolidated entity) at the end of the two most recently completed calendar quarters, adjusted for any share issuances or repurchases during the quarter.</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April 17, 2026, OFS Advisor agreed to waive its base management fee for the quarter ended March 31, 2026 attributable to all of the OFSCC-FS Assets to 0.25% per quarter (1.00% annualized) of the average value of the OFSCC-FS Assets (other than cash and cash equivalents, but including assets purchased with borrowed amounts) at the end of the two most recently completed calendar quarters. Prior to January 1, 2026, OFS Advisor had contractually agreed to reduce its base management fee for the entire year at the beginning of the year. As of March 31, 2026, there is no active ongoing fee waiver or reduction agreement in place with OFS Advisor for the remainder of 2026.</w:t>
      </w:r>
    </w:p>
    <w:p>
      <w:pPr>
        <w:spacing w:after="0" w:line="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OFS Advisor agreed to reduce its base management fee attributable to all of the OFSCC-FS Assets to 0.25% per quarter (1.00% annualized) of the average value of the OFSCC-FS Assets (other than cash and cash equivalents, but including assets purchased with borrowed amounts) at the end of the two most recently completed calendar quarters.</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OFS Advisor is not entitled to recoup the amount of the base management fee waived or reduced with respect to the OFSCC-FS Assets. The fee waiver and reductions were provided at OFS Advisor’s discretion; there can be no assurance that similar fee waivers or reductions will be provided in future periods.</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incentive fee has two parts. The first part of the incentive fee (the “Income Incentive Fee”)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fees such as commitment, syndication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and any interest expense and dividends paid on any outstanding preferred stock, but excluding the incentive fee). Pre-incentive fee net investment income includes, in the case of investments with a deferred interest or dividend feature (such as OID, debt instruments with PIK interest, equity investments with accruing or PIK dividend and zero coupon securities), accrued income that the Company has not yet received in cash.</w:t>
      </w:r>
    </w:p>
    <w:p>
      <w:pPr>
        <w:spacing w:after="0" w:line="7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Pre-incentive fee net investment income is expressed as a rate of return on the value of the Company’s net assets (defined as total assets less indebtedness and before taking into account any incentive fees payable during the period) at the end of the immediately preceding calendar quarter and adjusted for any share issuances or repurchases during such quarter.</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incentive fee with respect to pre-incentive fee net income is 20.0% of the amount, if any, by which the pre-incentive fee net investment income for the immediately preceding calendar quarter exceeds a 2.0% hurdle rate (which is 8.0% annualized) and a “catch-up” provision measured as of the end of each calendar quarter. Under this provision, in any calendar quarter, OFS Advisor receives no incentive fee until the net investment income equals the hurdle rate of 2.0%, but then receives, as a “catch-up,” 100.0% of the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OFS Advisor will receive 20.0% of the pre-incentive fee net investment income.</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even if the Company has incurred a loss in that quarter due to realized and unrealized capital losses. The Company’s net investment income used to calculate this part of the incentive fee is also included in the amount of the Company’s gross assets used to calculate the base management fee. These calculations are appropriately prorated for any period of less than three months.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second part of the incentive fee (the “Capital Gains Fee”) is determined and payable in arrears as of the end of each calendar year (or upon termination of the Investment Advisory Agreement, as of the termination date), and equals 20.0% of the Company’s aggregate realized capital gains, if any, on a cumulative basis from the date of the election to be a BDC through the end of each calendar year, computed net of all realized capital losses, losses on extinguishment of debt, income taxes from realized capital gains and unrealized capital depreciation through the end of such year, less all previous amounts paid in respect of the Capital Gains Fee. Since inception through March 31, 2026, the Company has not made a Capital Gains Fee payment.</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accrues the Capital Gains Fee if, on a cumulative basis, the sum of net realized capital gains (losses) plus net unrealized appreciation (depreciation) is positive. An accrued Capital Gains Fee relating to net unrealized appreciation is deferred, and not due to OFS Advisor, until the close of the year in which such gains are realized. If, on a cumulative basis, the sum of net realized capital gains (losses) plus net unrealized appreciation (depreciation) decreases during a period, the Company will reverse any excess Capital Gains Fee previously accrued such that the amount of Capital Gains Fee accrued is no more than 20% of the sum of net realized capital gains (losses) plus net unrealized appreciation (depreciation). As of March 31, 2026 and December 31, 2025, there were no accrued Capital Gains Fees.</w:t>
      </w:r>
    </w:p>
    <w:p>
      <w:pPr>
        <w:spacing w:after="0" w:line="7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License Agreement: </w:t>
      </w:r>
      <w:r>
        <w:rPr>
          <w:rFonts w:ascii="Times New Roman" w:cs="Times New Roman" w:eastAsia="Times New Roman" w:hAnsi="Times New Roman"/>
          <w:sz w:val="18"/>
          <w:szCs w:val="18"/>
          <w:color w:val="auto"/>
        </w:rPr>
        <w:t>The Company entered into a license agreement with OFSAM under which OFSAM has granted the Company a non-exclusive,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royalty-free license to use the name “OFS.”</w:t>
      </w:r>
    </w:p>
    <w:p>
      <w:pPr>
        <w:spacing w:after="0" w:line="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Administration Agreement: </w:t>
      </w:r>
      <w:r>
        <w:rPr>
          <w:rFonts w:ascii="Times New Roman" w:cs="Times New Roman" w:eastAsia="Times New Roman" w:hAnsi="Times New Roman"/>
          <w:sz w:val="18"/>
          <w:szCs w:val="18"/>
          <w:color w:val="auto"/>
        </w:rPr>
        <w:t>OFS Services furnishes the Company with office facilities and equipment, necessary software licenses and subscriptions,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clerical, bookkeeping and record keeping services at such facilities pursuant to the Administration Agreement. The continuation of the Administration Agreement was most recently approved by the Board on April 2, 2026. Under the Administration Agreement, OFS Services performs, or oversees the performance of, the Company’s required administrative services, which include being responsible for the financial records that the Company is required to maintain and preparing reports to its stockholders and all other reports and materials required to be filed with the SEC or any other regulatory authority. In addition, OFS Services assists the Company in determining and publishing its net asset value, oversees the preparation and filing of its tax returns and the printing and dissemination of reports to its stockholders, and generally oversees the payment of the Company’s expenses and the performance of administrative and professional services rendered to the Company by others. Under the Administration Agreement, OFS Services also provides managerial assistance on the Company’s behalf to those portfolio companies that have accepted the Company’s offer to provide such assistance. Payment under the Administration Agreement is equal to an amount based upon the Company’s allocable portion of OFS Services’s overhead in performing its obligations under the Administration Agreement, including, but not limited to, rent, information technology services and the Company’s allocable portion of the cost of its officers,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including its chief executive officer, chief financial officer, chief compliance officer and their respective staffs. To the extent that OFS Services outsources any of its functions, the Company will pay the fees associated with such functions on a direct basis without profit to OFS Services.</w:t>
      </w:r>
    </w:p>
    <w:p>
      <w:pPr>
        <w:spacing w:after="0" w:line="5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Ownership: </w:t>
      </w:r>
      <w:r>
        <w:rPr>
          <w:rFonts w:ascii="Times New Roman" w:cs="Times New Roman" w:eastAsia="Times New Roman" w:hAnsi="Times New Roman"/>
          <w:sz w:val="18"/>
          <w:szCs w:val="18"/>
          <w:color w:val="auto"/>
        </w:rPr>
        <w:t>As of March 31, 2026, affiliates of OFS Advisor held approximately 3,029,093 shares of common stock, which is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22.6% of the Company’s outstanding shares of common stock.</w:t>
      </w:r>
    </w:p>
    <w:p>
      <w:pPr>
        <w:spacing w:after="0" w:line="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Expenses recognized under agreements with OFS Advisor and OFS Services and distributions paid to affiliates for the three months ended March 31, 2026 and 2025 are presented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r>
      <w:tr>
        <w:trPr>
          <w:trHeight w:val="210"/>
        </w:trPr>
        <w:tc>
          <w:tcPr>
            <w:tcW w:w="49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r>
      <w:tr>
        <w:trPr>
          <w:trHeight w:val="209"/>
        </w:trPr>
        <w:tc>
          <w:tcPr>
            <w:tcW w:w="49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Base management fee</w:t>
            </w:r>
            <w:r>
              <w:rPr>
                <w:rFonts w:ascii="Times New Roman" w:cs="Times New Roman" w:eastAsia="Times New Roman" w:hAnsi="Times New Roman"/>
                <w:sz w:val="24"/>
                <w:szCs w:val="24"/>
                <w:color w:val="auto"/>
                <w:vertAlign w:val="superscript"/>
              </w:rPr>
              <w:t>(1)</w:t>
            </w:r>
          </w:p>
        </w:tc>
        <w:tc>
          <w:tcPr>
            <w:tcW w:w="382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1,435</w:t>
            </w:r>
          </w:p>
        </w:tc>
        <w:tc>
          <w:tcPr>
            <w:tcW w:w="130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1,549</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 waiver</w:t>
            </w:r>
          </w:p>
        </w:tc>
        <w:tc>
          <w:tcPr>
            <w:tcW w:w="2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Incentive Fee</w:t>
            </w:r>
          </w:p>
        </w:tc>
        <w:tc>
          <w:tcPr>
            <w:tcW w:w="2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fee</w:t>
            </w:r>
          </w:p>
        </w:tc>
        <w:tc>
          <w:tcPr>
            <w:tcW w:w="2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 paid to affiliates</w:t>
            </w:r>
          </w:p>
        </w:tc>
        <w:tc>
          <w:tcPr>
            <w:tcW w:w="2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1,029</w:t>
            </w:r>
          </w:p>
        </w:tc>
      </w:tr>
    </w:tbl>
    <w:p>
      <w:pPr>
        <w:spacing w:after="0" w:line="103" w:lineRule="exact"/>
        <w:rPr>
          <w:sz w:val="20"/>
          <w:szCs w:val="20"/>
          <w:color w:val="auto"/>
        </w:rPr>
      </w:pPr>
    </w:p>
    <w:p>
      <w:pPr>
        <w:ind w:right="20" w:firstLine="8"/>
        <w:spacing w:after="0" w:line="266"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the Company’s base management fee on OFSCC-FS Assets was reduced by $267, pursuant to the fee reduction agreed to by OFS Advisor on such assets for the year ended December 31, 2025. The base management fee for the three months ended March 31, 2025 is presented net of this fee reduction.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loans to 34 portfolio companies, of which approximately 98% were first lien debt investments and 2% were second lien debt investments, at fair value. The Company also had equity investments in 14 portfolio companies and 13 investments in Structured Finance Securities. As of March 31, 2026, the Company’s investments consisted of the following: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76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38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0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auto"/>
            </w:tcBorders>
            <w:gridSpan w:val="2"/>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First lien debt investments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171,353</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57.6%</w:t>
            </w:r>
          </w:p>
        </w:tc>
        <w:tc>
          <w:tcPr>
            <w:tcW w:w="13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156.8%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152,713</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49.5%</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 investments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18,340</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equity</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12,726</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3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Common equity, warrants and other</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90,168</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debt and equity investments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222,989</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75.1%</w:t>
            </w:r>
          </w:p>
        </w:tc>
        <w:tc>
          <w:tcPr>
            <w:tcW w:w="13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259,476</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84.2%</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73,793</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48,644</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296,782</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271.5%</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308,120</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1111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1117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1117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1111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1111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ind w:left="380" w:right="160" w:hanging="372"/>
        <w:spacing w:after="0" w:line="258"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unitranche investments (which are loans that combine both senior and subordinated debt, in a first lien position) with an amortized cost and fair value of $125,291 and $110,530, respectively. Unitranche loans generally provide leverage levels comparable to a combination of first lien and second lien or subordinated loans. Investments in “last out” pieces of unitranche loans will be similar to second lien loans in that such investments will be junior in priority to the “first out” piece of the same unitranche loan with respect to payment of principal and interest. Includes secondary priority debt investments governed under a first lien credit agreement.</w:t>
      </w:r>
    </w:p>
    <w:p>
      <w:pPr>
        <w:spacing w:after="0" w:line="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investment in Pfanstiehl Holdings, Inc. See “Note 4—Portfolio Concentration” for additional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Geographic composition is determined by the location of the corporate headquarters of the portfolio company. All international investments are denominated in U.S. dollars. As of March 31, 2026 and December 31, 2025, the Company’s investment portfolio was domiciled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4"/>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2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218,101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256,964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245,902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278,274</w:t>
            </w:r>
          </w:p>
        </w:tc>
      </w:tr>
      <w:tr>
        <w:trPr>
          <w:trHeight w:val="216"/>
        </w:trPr>
        <w:tc>
          <w:tcPr>
            <w:tcW w:w="2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Canada</w:t>
            </w:r>
            <w:r>
              <w:rPr>
                <w:rFonts w:ascii="Times New Roman" w:cs="Times New Roman" w:eastAsia="Times New Roman" w:hAnsi="Times New Roman"/>
                <w:sz w:val="24"/>
                <w:szCs w:val="24"/>
                <w:color w:val="auto"/>
                <w:vertAlign w:val="superscript"/>
              </w:rPr>
              <w:t>(1)</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2,136</w:t>
            </w:r>
          </w:p>
        </w:tc>
      </w:tr>
      <w:tr>
        <w:trPr>
          <w:trHeight w:val="216"/>
        </w:trPr>
        <w:tc>
          <w:tcPr>
            <w:tcW w:w="2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Cayman Islands</w:t>
            </w:r>
            <w:r>
              <w:rPr>
                <w:rFonts w:ascii="Times New Roman" w:cs="Times New Roman" w:eastAsia="Times New Roman" w:hAnsi="Times New Roman"/>
                <w:sz w:val="24"/>
                <w:szCs w:val="24"/>
                <w:color w:val="auto"/>
                <w:vertAlign w:val="superscript"/>
              </w:rPr>
              <w:t>(1)(2)</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69,268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43,997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73,360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57,112</w:t>
            </w:r>
          </w:p>
        </w:tc>
      </w:tr>
      <w:tr>
        <w:trPr>
          <w:trHeight w:val="216"/>
        </w:trPr>
        <w:tc>
          <w:tcPr>
            <w:tcW w:w="2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Jersey</w:t>
            </w:r>
            <w:r>
              <w:rPr>
                <w:rFonts w:ascii="Times New Roman" w:cs="Times New Roman" w:eastAsia="Times New Roman" w:hAnsi="Times New Roman"/>
                <w:sz w:val="24"/>
                <w:szCs w:val="24"/>
                <w:color w:val="auto"/>
                <w:vertAlign w:val="superscript"/>
              </w:rPr>
              <w:t>(1)(2)</w:t>
            </w:r>
          </w:p>
        </w:tc>
        <w:tc>
          <w:tcPr>
            <w:tcW w:w="1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4,525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4,647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4,273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4,493</w:t>
            </w:r>
          </w:p>
        </w:tc>
      </w:tr>
      <w:tr>
        <w:trPr>
          <w:trHeight w:val="22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296,782</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308,120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328,400</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342,015</w:t>
            </w: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-25400</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857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857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3"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non-qualifying assets under Section 55(a) of the 1940 Act.</w:t>
      </w:r>
    </w:p>
    <w:p>
      <w:pPr>
        <w:spacing w:after="0" w:line="11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domiciled in the Cayman Islands and Jersey represent certain Structured Finance Securities held by the Company. These investments generally represent beneficial interests in underlying portfolios of debt investments in companies domiciled in the United States.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industry composition of the Company’s investment portfolio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5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120" w:type="dxa"/>
            <w:vAlign w:val="bottom"/>
          </w:tcPr>
          <w:p>
            <w:pPr>
              <w:spacing w:after="0"/>
              <w:rPr>
                <w:sz w:val="20"/>
                <w:szCs w:val="20"/>
                <w:color w:val="auto"/>
              </w:rPr>
            </w:pPr>
          </w:p>
        </w:tc>
        <w:tc>
          <w:tcPr>
            <w:tcW w:w="8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0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360" w:type="dxa"/>
            <w:vAlign w:val="bottom"/>
            <w:tcBorders>
              <w:top w:val="single" w:sz="8" w:color="auto"/>
            </w:tcBorders>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88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80" w:type="dxa"/>
            <w:vAlign w:val="bottom"/>
            <w:tcBorders>
              <w:top w:val="single" w:sz="8" w:color="auto"/>
            </w:tcBorders>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88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91"/>
        </w:trPr>
        <w:tc>
          <w:tcPr>
            <w:tcW w:w="4400" w:type="dxa"/>
            <w:vAlign w:val="bottom"/>
            <w:tcBorders>
              <w:top w:val="single" w:sz="8" w:color="auto"/>
            </w:tcBorders>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Administrative and Support and Waste</w:t>
            </w:r>
          </w:p>
        </w:tc>
        <w:tc>
          <w:tcPr>
            <w:tcW w:w="12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Management and Remediation Services</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2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Education Services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and Insurance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Health Care and Social Assistance</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63,406</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23,632</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Management of Companies and Enterprises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21,976</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96,542</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Services (except Public Administration)</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Scientific, and Technical 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19,828</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Public Administration</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 Estate and Rental and Leasing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22,887</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Retail Trade</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Wholesale Trade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debt and equity investments</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222,989</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75.1%</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259,476</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84.2%</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16"/>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73,793</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48,644</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296,782</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308,120</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-24765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1111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1111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1117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1117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1111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1111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loans to 34 portfolio companies, of which 95% were first lien debt investments and 5% were second lien debt investments, at fair value. The Company also held equity investments in 15 portfolio companies and 14 investments in Structured Finance Securities. At December 31, 2025, the Company’s investments consisted of the following: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6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3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6"/>
                <w:szCs w:val="16"/>
                <w:color w:val="auto"/>
              </w:rPr>
            </w:pPr>
          </w:p>
        </w:tc>
        <w:tc>
          <w:tcPr>
            <w:tcW w:w="1240" w:type="dxa"/>
            <w:vAlign w:val="bottom"/>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c>
          <w:tcPr>
            <w:tcW w:w="110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First lien debt investments</w:t>
            </w:r>
            <w:r>
              <w:rPr>
                <w:rFonts w:ascii="Times New Roman" w:cs="Times New Roman" w:eastAsia="Times New Roman" w:hAnsi="Times New Roman"/>
                <w:sz w:val="24"/>
                <w:szCs w:val="24"/>
                <w:color w:val="auto"/>
                <w:vertAlign w:val="superscript"/>
              </w:rPr>
              <w:t>(1)</w:t>
            </w:r>
          </w:p>
        </w:tc>
        <w:tc>
          <w:tcPr>
            <w:tcW w:w="8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188,236</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170,405</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 investments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24,924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equity</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14,287</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12,567</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Common equity, warrants and other</w:t>
            </w:r>
            <w:r>
              <w:rPr>
                <w:rFonts w:ascii="Times New Roman" w:cs="Times New Roman" w:eastAsia="Times New Roman" w:hAnsi="Times New Roman"/>
                <w:sz w:val="24"/>
                <w:szCs w:val="24"/>
                <w:color w:val="auto"/>
                <w:vertAlign w:val="superscript"/>
              </w:rPr>
              <w:t>(2)</w:t>
            </w: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23,320</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88,029</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9"/>
        </w:trPr>
        <w:tc>
          <w:tcPr>
            <w:tcW w:w="3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debt and equity investments</w:t>
            </w:r>
          </w:p>
        </w:tc>
        <w:tc>
          <w:tcPr>
            <w:tcW w:w="8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250,767</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280,410</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77,633</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61,605</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8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328,400</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342,015</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28" w:lineRule="exact"/>
        <w:rPr>
          <w:sz w:val="20"/>
          <w:szCs w:val="20"/>
          <w:color w:val="auto"/>
        </w:rPr>
      </w:pPr>
    </w:p>
    <w:p>
      <w:pPr>
        <w:ind w:left="380" w:right="160" w:hanging="372"/>
        <w:spacing w:after="0" w:line="258"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unitranche investments (which are loans that combine both senior and subordinated debt, in a first lien position) with an amortized cost and fair value of $130,270 and $116,279, respectively. Unitranche loans generally provide leverage levels comparable to a combination of first lien and second lien or subordinated loans. Investments in “last out” pieces of unitranche loans will be similar to second lien loans in that such investments will be junior in priority to the “first out” piece of the same unitranche loan with respect to payment of principal and interest. Includes secondary priority debt investments governed under a first lien credit agreement.</w:t>
      </w:r>
    </w:p>
    <w:p>
      <w:pPr>
        <w:spacing w:after="0" w:line="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investment in Pfanstiehl Holdings, Inc. See “Note 4—Portfolio Concentration” for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industry compositions of the Company’s debt and equity investments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36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1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26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6"/>
                <w:szCs w:val="16"/>
                <w:color w:val="auto"/>
              </w:rPr>
            </w:pPr>
          </w:p>
        </w:tc>
        <w:tc>
          <w:tcPr>
            <w:tcW w:w="100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6"/>
                <w:szCs w:val="16"/>
                <w:color w:val="auto"/>
              </w:rPr>
            </w:pPr>
          </w:p>
        </w:tc>
        <w:tc>
          <w:tcPr>
            <w:tcW w:w="110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91"/>
        </w:trPr>
        <w:tc>
          <w:tcPr>
            <w:tcW w:w="4340" w:type="dxa"/>
            <w:vAlign w:val="bottom"/>
            <w:tcBorders>
              <w:top w:val="single" w:sz="8" w:color="auto"/>
            </w:tcBorders>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Administrative and Support and Waste</w:t>
            </w:r>
          </w:p>
        </w:tc>
        <w:tc>
          <w:tcPr>
            <w:tcW w:w="10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Management and Remediation Services</w:t>
            </w: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11,234</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11,006</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18,986</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9,644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Education Services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17,891</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18,023</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and Insurance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Health Care and Social Assistance</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68,571</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48,653</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23,651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18,136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Management of Companies and Enterprises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12,562</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11,419</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Manufacturing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22,336</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97,061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Services (except Public Administration)</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Scientific, and Technical Services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19,384</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19,451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Public Administration</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 Estate and Rental and Leasing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25,720</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22,507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Retail Trade</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13,355</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11,895</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Wholesale Trade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11,688</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8,016</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debt and equity investments</w:t>
            </w: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250,767</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280,410</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16"/>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77,633</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61,605</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328,400</w:t>
            </w:r>
          </w:p>
        </w:tc>
        <w:tc>
          <w:tcPr>
            <w:tcW w:w="1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342,015</w:t>
            </w:r>
          </w:p>
        </w:tc>
        <w:tc>
          <w:tcPr>
            <w:tcW w:w="1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Non-Accrual Loans: </w:t>
      </w:r>
      <w:r>
        <w:rPr>
          <w:rFonts w:ascii="Times New Roman" w:cs="Times New Roman" w:eastAsia="Times New Roman" w:hAnsi="Times New Roman"/>
          <w:sz w:val="18"/>
          <w:szCs w:val="18"/>
          <w:color w:val="auto"/>
        </w:rPr>
        <w:t>Management reviews, for placement on non-accrual status, all loans and CLO mezzanine debt investments that become past due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and interest, and/or when there is reasonable doubt that principal or interest will be collected. When a loan is placed on non-accrual status, accrued and unpaid cash interest is reversed.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appreciation/depreciation, as applicable. Additionally, Net Loan Fees are no longer recognized as of the date the loan is placed on non-accrual status. Depending upon management’s judgment, interest payments subsequently received on non-accrual investments may be recognized as interest income or applied as a reduction to amortized cost. Interest accruals and Net Loan Fee amortization are resumed on non-accrual investments only when they are brought current with respect to principal and interest payments or until a restructuring occurs and, in the judgment of management, it is probable that the Company will collect all principal and interest from the investment. For the three months ended March 31, 2026, a loan to a portfolio company with an amortized cost and fair value of $1,499 and $982, respectively, was placed on non-accrual status. Additionally, during the three months ended March 31, 2026, the Company received net proceeds of $2,300 for the partial recovery of a second lien debt investment, with an amortized cost and fair value of $6,584 and $2,382, respectively, that was previously on non-accrual status, resulting in a realized loss of $4,284. The aggregate amortized cost and fair value of loans on non-accrual status as of March 31, 2026 was $31,468 and $10,897, respectively, and as of December 31, 2025 was $36,567 and $14,400,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Portfolio Concentration: </w:t>
      </w:r>
      <w:r>
        <w:rPr>
          <w:rFonts w:ascii="Times New Roman" w:cs="Times New Roman" w:eastAsia="Times New Roman" w:hAnsi="Times New Roman"/>
          <w:sz w:val="18"/>
          <w:szCs w:val="18"/>
          <w:color w:val="auto"/>
        </w:rPr>
        <w:t>The following table presents the Company’s portfolio companies based on fair value that comprise greater than 10%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total net assets as of March 31, 2026: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0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2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6"/>
                <w:szCs w:val="16"/>
                <w:color w:val="auto"/>
              </w:rPr>
            </w:pPr>
          </w:p>
        </w:tc>
        <w:tc>
          <w:tcPr>
            <w:tcW w:w="102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00" w:type="dxa"/>
            <w:vAlign w:val="bottom"/>
          </w:tcPr>
          <w:p>
            <w:pPr>
              <w:spacing w:after="0"/>
              <w:rPr>
                <w:sz w:val="20"/>
                <w:szCs w:val="20"/>
                <w:color w:val="auto"/>
              </w:rPr>
            </w:pPr>
          </w:p>
        </w:tc>
        <w:tc>
          <w:tcPr>
            <w:tcW w:w="26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0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Pfanstiehl Holdings, Inc.</w:t>
            </w:r>
          </w:p>
        </w:tc>
        <w:tc>
          <w:tcPr>
            <w:tcW w:w="1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Common Equity</w:t>
            </w:r>
          </w:p>
        </w:tc>
        <w:tc>
          <w:tcPr>
            <w:tcW w:w="10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80,430</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Kreg LLC</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Lien Debt</w:t>
            </w:r>
          </w:p>
        </w:tc>
        <w:tc>
          <w:tcPr>
            <w:tcW w:w="1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Health Care and Social Assistance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17,984</w:t>
            </w:r>
          </w:p>
        </w:tc>
        <w:tc>
          <w:tcPr>
            <w:tcW w:w="10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SS Acquisition, LLC</w:t>
            </w:r>
            <w:r>
              <w:rPr>
                <w:rFonts w:ascii="Times New Roman" w:cs="Times New Roman" w:eastAsia="Times New Roman" w:hAnsi="Times New Roman"/>
                <w:sz w:val="24"/>
                <w:szCs w:val="24"/>
                <w:color w:val="auto"/>
                <w:vertAlign w:val="superscript"/>
              </w:rPr>
              <w:t>(1)</w:t>
            </w:r>
          </w:p>
        </w:tc>
        <w:tc>
          <w:tcPr>
            <w:tcW w:w="1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First Lien Debt</w:t>
            </w:r>
          </w:p>
        </w:tc>
        <w:tc>
          <w:tcPr>
            <w:tcW w:w="10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Education Services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17,183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17,420</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1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98"/>
        </w:trPr>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Inergex Holdings, LLC</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Professional, Scientific,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Lien Debt</w:t>
            </w: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17,387</w:t>
            </w:r>
          </w:p>
        </w:tc>
        <w:tc>
          <w:tcPr>
            <w:tcW w:w="10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198"/>
        </w:trPr>
        <w:tc>
          <w:tcPr>
            <w:tcW w:w="2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Contract Datascan Holdings, Inc.</w:t>
            </w:r>
          </w:p>
        </w:tc>
        <w:tc>
          <w:tcPr>
            <w:tcW w:w="1560" w:type="dxa"/>
            <w:vAlign w:val="bottom"/>
            <w:gridSpan w:val="2"/>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and</w:t>
            </w:r>
          </w:p>
        </w:tc>
        <w:tc>
          <w:tcPr>
            <w:tcW w:w="100" w:type="dxa"/>
            <w:vAlign w:val="bottom"/>
            <w:shd w:val="clear" w:color="auto" w:fill="CFF0FC"/>
          </w:tcPr>
          <w:p>
            <w:pPr>
              <w:spacing w:after="0"/>
              <w:rPr>
                <w:sz w:val="17"/>
                <w:szCs w:val="17"/>
                <w:color w:val="auto"/>
              </w:rPr>
            </w:pPr>
          </w:p>
        </w:tc>
        <w:tc>
          <w:tcPr>
            <w:tcW w:w="2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13,019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12,030</w:t>
            </w:r>
          </w:p>
        </w:tc>
        <w:tc>
          <w:tcPr>
            <w:tcW w:w="10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vMerge w:val="restart"/>
            <w:shd w:val="clear" w:color="auto" w:fill="CFF0FC"/>
          </w:tcPr>
          <w:p>
            <w:pPr>
              <w:spacing w:after="0"/>
              <w:rPr>
                <w:sz w:val="17"/>
                <w:szCs w:val="17"/>
                <w:color w:val="auto"/>
              </w:rPr>
            </w:pPr>
          </w:p>
        </w:tc>
        <w:tc>
          <w:tcPr>
            <w:tcW w:w="102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1"/>
        </w:trPr>
        <w:tc>
          <w:tcPr>
            <w:tcW w:w="272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Common Equity</w:t>
            </w:r>
          </w:p>
        </w:tc>
        <w:tc>
          <w:tcPr>
            <w:tcW w:w="100" w:type="dxa"/>
            <w:vAlign w:val="bottom"/>
            <w:tcBorders>
              <w:bottom w:val="single" w:sz="8" w:color="CFF0FC"/>
            </w:tcBorders>
            <w:shd w:val="clear" w:color="auto" w:fill="CFF0FC"/>
          </w:tcPr>
          <w:p>
            <w:pPr>
              <w:spacing w:after="0"/>
              <w:rPr>
                <w:sz w:val="19"/>
                <w:szCs w:val="19"/>
                <w:color w:val="auto"/>
              </w:rPr>
            </w:pPr>
          </w:p>
        </w:tc>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and Rental and Leasing</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66,160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145,251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-170815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As of March 31, 2026, the Company had an outstanding commitment of $1,286 to fund the portfolio company’s undrawn revolver facility.</w:t>
      </w:r>
    </w:p>
    <w:p>
      <w:pPr>
        <w:spacing w:after="0" w:line="1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March 31, 2026, approximately 4.4% and 12.5% of the Company’s total portfolio at fair value and net assets, respectively, were comprised of Structured Finance Securities managed by a single adviser.</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deterioration in the operating performance of these portfolio investments, or other factors underlying the valuation of these investments, could have a material impact on the Company’s NAV.</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of Financial Instruments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investments are carried at fair value and determined in accordance with ASC 820 and a documented valuation policy that is applied in a consistent manner. Pursuant to Rule 2a-5 of the 1940 Act (“Rule 2a-5”), the Board designated OFS Advisor as the valuation designee to perform fair value determinations relating to the Company’s investments, and the Board maintains oversight of OFS Advisor in its capacity as valuation designee, as prescribed in Rule 2a-5. The Company engages third-party valuation firms to provide assistance to OFS Advisor in determining the fair value for a majority of its investments.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Fair values are determined with models or other valuation techniques, valuation inputs, and assumptions that market participants would use in pricing an asset or liability. Valuation inputs are organized in a hierarchy that gives the highest priority to prices for identical assets or liabilities quoted in active markets (Level 1) and the lowest priority to fair values based on unobservable inputs (Level 3). The three levels of inputs in the fair value hierarchy are described below:</w:t>
      </w:r>
    </w:p>
    <w:p>
      <w:pPr>
        <w:spacing w:after="0" w:line="7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for identical assets or liabilities that the reporting entity can access at the measurement date.</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quoted prices within Level 1 that are observable for the asset or liability, either directly or indirectly.</w:t>
      </w:r>
    </w:p>
    <w:p>
      <w:pPr>
        <w:spacing w:after="0" w:line="117" w:lineRule="exact"/>
        <w:rPr>
          <w:sz w:val="20"/>
          <w:szCs w:val="20"/>
          <w:color w:val="auto"/>
        </w:rPr>
      </w:pPr>
    </w:p>
    <w:p>
      <w:pPr>
        <w:ind w:left="1500" w:right="260" w:hanging="69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for the asset or liability, and situations where there is little, if any, market activity for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5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inputs into the determination of fair value are based upon the best information under the circumstances and may require management to exercise significant judgment or estimation. 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investment. The Company generally categorizes its investment portfolio into Level 3, and to a lesser extent Level 2, of the hierarchy.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assesses the levels of the investments at each measurement date, and transfers between levels are recognized on the measurement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did not transfer any investments between Level 2 and Level 3 of the hierarchy.</w:t>
      </w:r>
    </w:p>
    <w:p>
      <w:pPr>
        <w:spacing w:after="0" w:line="9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Transfers between levels occur when the availability of reliable Indicative Prices changes during the period. The Company classifies loan investments as Level 2 when sufficient Indicative Prices are available, and the depth of the market is sufficient, in management’s judgment, to transact at those prices in amounts approximating the Company’s investment position at the measurement date.</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Level 3 investments, including the use of significant unobservable inputs, the fair value of the investments may differ significantly from the values that would have been used had a ready market or observable inputs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 and incur a realized capital loss. The Company’s investments are subject to market risk as a result of economic and political developments, including impacts from interest rate and inflation rate changes, the ongoing war between Russia and Ukraine, the escalated armed conflict and heightened regional tensions in the Middle East, activity in South America, instability in the U.S. and international banking systems, the agenda of the U.S. presidential administration, including the impact of tariff enactment and tax reductions, trade disputes with other countries, the risk of recession or the impact of the prolonged shutdown of U.S. government services, and related market volatility. Market risk is directly impacted by the volatility and liquidity in the markets in which certain investments are traded and can affect the fair value of the Company’s investments. The Company’s investments are also subject to interest rate risk. Changes in interest rates enacted by the U.S. Federal Reserve may impact the Company’s investment income, cost of funding and the valuation of its investment portfolio.</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investment portfolio measured at fair value on a recurring basis as of March 31, 2026 and December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 Value as of</w:t>
            </w:r>
          </w:p>
        </w:tc>
      </w:tr>
      <w:tr>
        <w:trPr>
          <w:trHeight w:val="238"/>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12,774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143,808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156,582</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102,894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102,894</w:t>
            </w:r>
          </w:p>
        </w:tc>
      </w:tr>
      <w:tr>
        <w:trPr>
          <w:trHeight w:val="216"/>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48,644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48,644</w:t>
            </w:r>
          </w:p>
        </w:tc>
      </w:tr>
      <w:tr>
        <w:trPr>
          <w:trHeight w:val="210"/>
        </w:trPr>
        <w:tc>
          <w:tcPr>
            <w:tcW w:w="49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12,774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295,346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308,120</w:t>
            </w: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-170815</wp:posOffset>
            </wp:positionV>
            <wp:extent cx="768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 Value as of</w:t>
            </w:r>
          </w:p>
        </w:tc>
      </w:tr>
      <w:tr>
        <w:trPr>
          <w:trHeight w:val="238"/>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14,809</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165,005</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179,814</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100,596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100,596</w:t>
            </w: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61,605</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61,605</w:t>
            </w:r>
          </w:p>
        </w:tc>
      </w:tr>
      <w:tr>
        <w:trPr>
          <w:trHeight w:val="210"/>
        </w:trPr>
        <w:tc>
          <w:tcPr>
            <w:tcW w:w="50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14,809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327,206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342,015</w:t>
            </w: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763"/>
        </w:trPr>
        <w:tc>
          <w:tcPr>
            <w:tcW w:w="5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-1079500</wp:posOffset>
            </wp:positionV>
            <wp:extent cx="85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-1079500</wp:posOffset>
            </wp:positionV>
            <wp:extent cx="857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-1079500</wp:posOffset>
            </wp:positionV>
            <wp:extent cx="85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tables provides the primary quantitative information about valuation techniques and the Company’s unobservable inputs to its Level 3 fair value measurements as of March 31, 2026 and December 31, 2025. The Company may make changes to the valuation techniques, among techniques otherwise commonly utilized in accordance with its valuation policies, and/or the weighting of techniques used for particular investments based on changes in facts-and-circumstances and depending on the availability of, or changes in, information in order to produce the best estimate of fair value as of the measurement date. In addition to the techniques and unobservable inputs noted in the tables below and in accordance with OFS Advisor’s valuation policy, OFS Advisor, as valuation designee, may also use other valuation techniques and methodologies when determining the fair value measurements of the Company’s investment assets. The tables are not intended to be all-inclusive and only present the most significant unobservable input(s) relevant to the valuation designee’s determination of fair value.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18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Fair Value at March</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31, 2026</w:t>
            </w:r>
          </w:p>
        </w:tc>
        <w:tc>
          <w:tcPr>
            <w:tcW w:w="120" w:type="dxa"/>
            <w:vAlign w:val="bottom"/>
          </w:tcPr>
          <w:p>
            <w:pPr>
              <w:spacing w:after="0"/>
              <w:rPr>
                <w:sz w:val="23"/>
                <w:szCs w:val="23"/>
                <w:color w:val="auto"/>
              </w:rPr>
            </w:pPr>
          </w:p>
        </w:tc>
        <w:tc>
          <w:tcPr>
            <w:tcW w:w="1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00" w:type="dxa"/>
            <w:vAlign w:val="bottom"/>
          </w:tcPr>
          <w:p>
            <w:pPr>
              <w:spacing w:after="0"/>
              <w:rPr>
                <w:sz w:val="23"/>
                <w:szCs w:val="23"/>
                <w:color w:val="auto"/>
              </w:rPr>
            </w:pPr>
          </w:p>
        </w:tc>
        <w:tc>
          <w:tcPr>
            <w:tcW w:w="24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00" w:type="dxa"/>
            <w:vAlign w:val="bottom"/>
          </w:tcPr>
          <w:p>
            <w:pPr>
              <w:spacing w:after="0"/>
              <w:rPr>
                <w:sz w:val="23"/>
                <w:szCs w:val="23"/>
                <w:color w:val="auto"/>
              </w:rPr>
            </w:pPr>
          </w:p>
        </w:tc>
        <w:tc>
          <w:tcPr>
            <w:tcW w:w="2460" w:type="dxa"/>
            <w:vAlign w:val="bottom"/>
            <w:tcBorders>
              <w:bottom w:val="single" w:sz="8" w:color="auto"/>
            </w:tcBorders>
            <w:gridSpan w:val="2"/>
          </w:tcPr>
          <w:p>
            <w:pPr>
              <w:ind w:left="400"/>
              <w:spacing w:after="0" w:line="270" w:lineRule="exact"/>
              <w:rPr>
                <w:sz w:val="20"/>
                <w:szCs w:val="20"/>
                <w:color w:val="auto"/>
              </w:rPr>
            </w:pPr>
            <w:r>
              <w:rPr>
                <w:rFonts w:ascii="Times New Roman" w:cs="Times New Roman" w:eastAsia="Times New Roman" w:hAnsi="Times New Roman"/>
                <w:sz w:val="18"/>
                <w:szCs w:val="18"/>
                <w:b w:val="1"/>
                <w:bCs w:val="1"/>
                <w:color w:val="auto"/>
              </w:rPr>
              <w:t>(Weighted average)</w:t>
            </w:r>
            <w:r>
              <w:rPr>
                <w:rFonts w:ascii="Times New Roman" w:cs="Times New Roman" w:eastAsia="Times New Roman" w:hAnsi="Times New Roman"/>
                <w:sz w:val="26"/>
                <w:szCs w:val="26"/>
                <w:b w:val="1"/>
                <w:bCs w:val="1"/>
                <w:color w:val="auto"/>
                <w:vertAlign w:val="superscript"/>
              </w:rPr>
              <w:t>(1)</w:t>
            </w:r>
          </w:p>
        </w:tc>
        <w:tc>
          <w:tcPr>
            <w:tcW w:w="0" w:type="dxa"/>
            <w:vAlign w:val="bottom"/>
          </w:tcPr>
          <w:p>
            <w:pPr>
              <w:spacing w:after="0"/>
              <w:rPr>
                <w:sz w:val="1"/>
                <w:szCs w:val="1"/>
                <w:color w:val="auto"/>
              </w:rPr>
            </w:pPr>
          </w:p>
        </w:tc>
      </w:tr>
      <w:tr>
        <w:trPr>
          <w:trHeight w:val="209"/>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Debt investments:</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lien</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114,453</w:t>
            </w:r>
          </w:p>
        </w:tc>
        <w:tc>
          <w:tcPr>
            <w:tcW w:w="1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Discount rates</w:t>
            </w:r>
          </w:p>
        </w:tc>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8.60% - 37.50% (13.39%)</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22,861</w:t>
            </w: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EBITDA multiples</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3.00x</w:t>
            </w: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- 7.75x (5.86x)</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Transaction Price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Second lien</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2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Discount rates</w:t>
            </w:r>
          </w:p>
        </w:tc>
        <w:tc>
          <w:tcPr>
            <w:tcW w:w="25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23.90% - 23.90% (23.90%)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EBITDA multiples</w:t>
            </w: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6.25x</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- 6.25x (6.25x)</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Revenue multiples</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0.88x</w:t>
            </w: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- 0.88x (0.88x)</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28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Structured Finance</w:t>
            </w: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280" w:type="dxa"/>
            <w:vAlign w:val="bottom"/>
            <w:shd w:val="clear" w:color="auto" w:fill="CFF0FC"/>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0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Subordinated notes</w:t>
            </w:r>
          </w:p>
        </w:tc>
        <w:tc>
          <w:tcPr>
            <w:tcW w:w="3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42,129</w:t>
            </w:r>
          </w:p>
        </w:tc>
        <w:tc>
          <w:tcPr>
            <w:tcW w:w="1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Discount rates</w:t>
            </w:r>
          </w:p>
        </w:tc>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16.50% - 40.00% (23.32%)</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Constant default rate</w:t>
            </w:r>
          </w:p>
        </w:tc>
        <w:tc>
          <w:tcPr>
            <w:tcW w:w="25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2.00% - 3.00% (2.11%)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Recovery rate</w:t>
            </w:r>
          </w:p>
        </w:tc>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65.00% - 65.00% (65.00%)</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580" w:type="dxa"/>
            <w:vAlign w:val="bottom"/>
            <w:gridSpan w:val="2"/>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Net asset value liquidation</w:t>
            </w:r>
            <w:r>
              <w:rPr>
                <w:rFonts w:ascii="Times New Roman" w:cs="Times New Roman" w:eastAsia="Times New Roman" w:hAnsi="Times New Roman"/>
                <w:sz w:val="24"/>
                <w:szCs w:val="24"/>
                <w:color w:val="auto"/>
                <w:vertAlign w:val="superscript"/>
              </w:rPr>
              <w:t>(3)</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Mezzanine debt</w:t>
            </w:r>
          </w:p>
        </w:tc>
        <w:tc>
          <w:tcPr>
            <w:tcW w:w="3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6,385</w:t>
            </w:r>
          </w:p>
        </w:tc>
        <w:tc>
          <w:tcPr>
            <w:tcW w:w="1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Discount margin</w:t>
            </w:r>
          </w:p>
        </w:tc>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14.00% - 15.50% (14.97%)</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Constant default rate</w:t>
            </w:r>
          </w:p>
        </w:tc>
        <w:tc>
          <w:tcPr>
            <w:tcW w:w="25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2.00% - 2.00% (2.00%)</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Recovery rate</w:t>
            </w:r>
          </w:p>
        </w:tc>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65.00% - 65.00% (65.00%)</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equity</w:t>
            </w:r>
          </w:p>
        </w:tc>
        <w:tc>
          <w:tcPr>
            <w:tcW w:w="3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12,392</w:t>
            </w:r>
          </w:p>
        </w:tc>
        <w:tc>
          <w:tcPr>
            <w:tcW w:w="1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EBITDA multiples</w:t>
            </w: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7.50x</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- 8.00x (7.99x)</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Market Approach</w:t>
            </w:r>
          </w:p>
        </w:tc>
        <w:tc>
          <w:tcPr>
            <w:tcW w:w="2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Revenue multiples</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0.50x</w:t>
            </w: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- 0.50x (0.50x)</w:t>
            </w:r>
          </w:p>
        </w:tc>
        <w:tc>
          <w:tcPr>
            <w:tcW w:w="0" w:type="dxa"/>
            <w:vAlign w:val="bottom"/>
          </w:tcPr>
          <w:p>
            <w:pPr>
              <w:spacing w:after="0"/>
              <w:rPr>
                <w:sz w:val="1"/>
                <w:szCs w:val="1"/>
                <w:color w:val="auto"/>
              </w:rPr>
            </w:pPr>
          </w:p>
        </w:tc>
      </w:tr>
      <w:tr>
        <w:trPr>
          <w:trHeight w:val="198"/>
        </w:trPr>
        <w:tc>
          <w:tcPr>
            <w:tcW w:w="22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Common equity,</w:t>
            </w:r>
          </w:p>
        </w:tc>
        <w:tc>
          <w:tcPr>
            <w:tcW w:w="300" w:type="dxa"/>
            <w:vAlign w:val="bottom"/>
          </w:tcPr>
          <w:p>
            <w:pPr>
              <w:spacing w:after="0"/>
              <w:rPr>
                <w:sz w:val="17"/>
                <w:szCs w:val="17"/>
                <w:color w:val="auto"/>
              </w:rPr>
            </w:pPr>
          </w:p>
        </w:tc>
        <w:tc>
          <w:tcPr>
            <w:tcW w:w="15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90,168</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and other</w:t>
            </w:r>
          </w:p>
        </w:tc>
        <w:tc>
          <w:tcPr>
            <w:tcW w:w="30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EBITDA multiples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5.00x</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- 13.75x (11.90x)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380" w:hanging="1104"/>
        <w:spacing w:after="0"/>
        <w:tabs>
          <w:tab w:leader="none" w:pos="33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295,346</w:t>
      </w:r>
    </w:p>
    <w:p>
      <w:pPr>
        <w:spacing w:after="0" w:line="15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is calculated based on the fair value of investments.</w:t>
      </w:r>
    </w:p>
    <w:p>
      <w:pPr>
        <w:spacing w:after="0" w:line="27" w:lineRule="exact"/>
        <w:rPr>
          <w:rFonts w:ascii="Times New Roman" w:cs="Times New Roman" w:eastAsia="Times New Roman" w:hAnsi="Times New Roman"/>
          <w:sz w:val="18"/>
          <w:szCs w:val="18"/>
          <w:color w:val="auto"/>
        </w:rPr>
      </w:pPr>
    </w:p>
    <w:p>
      <w:pPr>
        <w:ind w:left="380" w:right="280" w:hanging="372"/>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flows utilized in the discounted cash flow calculations assume: (i) liquidation of (a) certain distressed investments and (b) all investments currently in default held by the issuing CLO at their current market prices; and (ii) redeployment of proceeds at the issuing CLO’s assumed reinvestment rate.</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liquidation represents the fair value, or estimated expected residual value, of the investment.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58"/>
        </w:trPr>
        <w:tc>
          <w:tcPr>
            <w:tcW w:w="25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2"/>
                <w:szCs w:val="22"/>
                <w:color w:val="auto"/>
              </w:rPr>
            </w:pPr>
          </w:p>
        </w:tc>
        <w:tc>
          <w:tcPr>
            <w:tcW w:w="2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00" w:type="dxa"/>
            <w:vAlign w:val="bottom"/>
          </w:tcPr>
          <w:p>
            <w:pPr>
              <w:spacing w:after="0"/>
              <w:rPr>
                <w:sz w:val="22"/>
                <w:szCs w:val="22"/>
                <w:color w:val="auto"/>
              </w:rPr>
            </w:pPr>
          </w:p>
        </w:tc>
        <w:tc>
          <w:tcPr>
            <w:tcW w:w="2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ind w:left="20"/>
              <w:spacing w:after="0" w:line="258" w:lineRule="exact"/>
              <w:rPr>
                <w:sz w:val="20"/>
                <w:szCs w:val="20"/>
                <w:color w:val="auto"/>
              </w:rPr>
            </w:pPr>
            <w:r>
              <w:rPr>
                <w:rFonts w:ascii="Times New Roman" w:cs="Times New Roman" w:eastAsia="Times New Roman" w:hAnsi="Times New Roman"/>
                <w:sz w:val="18"/>
                <w:szCs w:val="18"/>
                <w:b w:val="1"/>
                <w:bCs w:val="1"/>
                <w:color w:val="auto"/>
              </w:rPr>
              <w:t>(Weighted average)</w:t>
            </w:r>
            <w:r>
              <w:rPr>
                <w:rFonts w:ascii="Times New Roman" w:cs="Times New Roman" w:eastAsia="Times New Roman" w:hAnsi="Times New Roman"/>
                <w:sz w:val="24"/>
                <w:szCs w:val="24"/>
                <w:b w:val="1"/>
                <w:bCs w:val="1"/>
                <w:color w:val="auto"/>
                <w:vertAlign w:val="superscript"/>
              </w:rPr>
              <w:t>(1)</w:t>
            </w:r>
          </w:p>
        </w:tc>
        <w:tc>
          <w:tcPr>
            <w:tcW w:w="0" w:type="dxa"/>
            <w:vAlign w:val="bottom"/>
          </w:tcPr>
          <w:p>
            <w:pPr>
              <w:spacing w:after="0"/>
              <w:rPr>
                <w:sz w:val="1"/>
                <w:szCs w:val="1"/>
                <w:color w:val="auto"/>
              </w:rPr>
            </w:pPr>
          </w:p>
        </w:tc>
      </w:tr>
      <w:tr>
        <w:trPr>
          <w:trHeight w:val="209"/>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Debt investments:</w:t>
            </w: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lien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115,014</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Discount rates</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8.61% - 37.50% (12.77%)</w:t>
            </w: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21,925</w:t>
            </w: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1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EBITDA multiples</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3.00x</w:t>
            </w:r>
          </w:p>
        </w:tc>
        <w:tc>
          <w:tcPr>
            <w:tcW w:w="2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- 8.00x (6.11x)</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8,225</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Revenue multiples</w:t>
            </w:r>
          </w:p>
        </w:tc>
        <w:tc>
          <w:tcPr>
            <w:tcW w:w="1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0.35x</w:t>
            </w:r>
          </w:p>
        </w:tc>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- 0.50x (0.35x)</w:t>
            </w: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10,432</w:t>
            </w: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1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Price</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lien</w:t>
            </w:r>
          </w:p>
        </w:tc>
        <w:tc>
          <w:tcPr>
            <w:tcW w:w="1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Discount rates</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13.70% - 13.70% (13.70%)</w:t>
            </w: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1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EBITDA multiples</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9.00x</w:t>
            </w:r>
          </w:p>
        </w:tc>
        <w:tc>
          <w:tcPr>
            <w:tcW w:w="2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- 9.00x (9.00x)</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6,461</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Revenue multiples</w:t>
            </w:r>
          </w:p>
        </w:tc>
        <w:tc>
          <w:tcPr>
            <w:tcW w:w="1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0.35x</w:t>
            </w:r>
          </w:p>
        </w:tc>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- 0.90x (0.70x)</w:t>
            </w: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Structured Finance</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Subordinated notes</w:t>
            </w:r>
            <w:r>
              <w:rPr>
                <w:rFonts w:ascii="Times New Roman" w:cs="Times New Roman" w:eastAsia="Times New Roman" w:hAnsi="Times New Roman"/>
                <w:sz w:val="24"/>
                <w:szCs w:val="24"/>
                <w:color w:val="auto"/>
                <w:vertAlign w:val="superscript"/>
              </w:rPr>
              <w:t>(2)</w:t>
            </w: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53,368</w:t>
            </w: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1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Discount rates</w:t>
            </w: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13.00% - 27.50% (18.73%)</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Constant default rate</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2.00% - 3.00% (2.08%)</w:t>
            </w: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Recovery rate</w:t>
            </w: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65.00% - 65.00% (65.00%)</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Mezzanine debt</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8,074</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Discount margin</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9.10% - 10.70% (9.62%)</w:t>
            </w: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Constant default rate</w:t>
            </w: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2.00% - 2.00% (2.00%)</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Recovery rate</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65.00% - 65.00% (65.00%)</w:t>
            </w:r>
          </w:p>
        </w:tc>
        <w:tc>
          <w:tcPr>
            <w:tcW w:w="0" w:type="dxa"/>
            <w:vAlign w:val="bottom"/>
          </w:tcPr>
          <w:p>
            <w:pPr>
              <w:spacing w:after="0"/>
              <w:rPr>
                <w:sz w:val="1"/>
                <w:szCs w:val="1"/>
                <w:color w:val="auto"/>
              </w:rPr>
            </w:pPr>
          </w:p>
        </w:tc>
      </w:tr>
      <w:tr>
        <w:trPr>
          <w:trHeight w:val="178"/>
        </w:trPr>
        <w:tc>
          <w:tcPr>
            <w:tcW w:w="2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ind w:left="100"/>
              <w:spacing w:after="0" w:line="177" w:lineRule="exact"/>
              <w:rPr>
                <w:sz w:val="20"/>
                <w:szCs w:val="20"/>
                <w:color w:val="auto"/>
              </w:rPr>
            </w:pPr>
            <w:r>
              <w:rPr>
                <w:rFonts w:ascii="Times New Roman" w:cs="Times New Roman" w:eastAsia="Times New Roman" w:hAnsi="Times New Roman"/>
                <w:sz w:val="18"/>
                <w:szCs w:val="18"/>
                <w:color w:val="auto"/>
              </w:rPr>
              <w:t>Net asset value</w:t>
            </w: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100" w:type="dxa"/>
            <w:vAlign w:val="bottom"/>
            <w:shd w:val="clear" w:color="auto" w:fill="CFF0FC"/>
          </w:tcPr>
          <w:p>
            <w:pPr>
              <w:spacing w:after="0"/>
              <w:rPr>
                <w:sz w:val="22"/>
                <w:szCs w:val="22"/>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FF0FC"/>
          </w:tcPr>
          <w:p>
            <w:pPr>
              <w:spacing w:after="0"/>
              <w:rPr>
                <w:sz w:val="22"/>
                <w:szCs w:val="22"/>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120" w:type="dxa"/>
            <w:vAlign w:val="bottom"/>
            <w:gridSpan w:val="2"/>
            <w:shd w:val="clear" w:color="auto" w:fill="CFF0FC"/>
          </w:tcPr>
          <w:p>
            <w:pPr>
              <w:ind w:left="100"/>
              <w:spacing w:after="0" w:line="255" w:lineRule="exact"/>
              <w:rPr>
                <w:sz w:val="20"/>
                <w:szCs w:val="20"/>
                <w:color w:val="auto"/>
              </w:rPr>
            </w:pPr>
            <w:r>
              <w:rPr>
                <w:rFonts w:ascii="Times New Roman" w:cs="Times New Roman" w:eastAsia="Times New Roman" w:hAnsi="Times New Roman"/>
                <w:sz w:val="18"/>
                <w:szCs w:val="18"/>
                <w:color w:val="auto"/>
              </w:rPr>
              <w:t>liquidation</w:t>
            </w:r>
            <w:r>
              <w:rPr>
                <w:rFonts w:ascii="Times New Roman" w:cs="Times New Roman" w:eastAsia="Times New Roman" w:hAnsi="Times New Roman"/>
                <w:sz w:val="24"/>
                <w:szCs w:val="24"/>
                <w:color w:val="auto"/>
                <w:vertAlign w:val="superscript"/>
              </w:rPr>
              <w:t>(3)</w:t>
            </w:r>
          </w:p>
        </w:tc>
        <w:tc>
          <w:tcPr>
            <w:tcW w:w="1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2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equity</w:t>
            </w:r>
          </w:p>
        </w:tc>
        <w:tc>
          <w:tcPr>
            <w:tcW w:w="1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12,448</w:t>
            </w:r>
          </w:p>
        </w:tc>
        <w:tc>
          <w:tcPr>
            <w:tcW w:w="1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EBITDA multiples</w:t>
            </w:r>
          </w:p>
        </w:tc>
        <w:tc>
          <w:tcPr>
            <w:tcW w:w="1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7.25x</w:t>
            </w:r>
          </w:p>
        </w:tc>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- 8.50x (8.46x)</w:t>
            </w: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1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Revenue multiples</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0.50x</w:t>
            </w:r>
          </w:p>
        </w:tc>
        <w:tc>
          <w:tcPr>
            <w:tcW w:w="2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- 0.50x (0.50x)</w:t>
            </w:r>
          </w:p>
        </w:tc>
        <w:tc>
          <w:tcPr>
            <w:tcW w:w="0" w:type="dxa"/>
            <w:vAlign w:val="bottom"/>
          </w:tcPr>
          <w:p>
            <w:pPr>
              <w:spacing w:after="0"/>
              <w:rPr>
                <w:sz w:val="1"/>
                <w:szCs w:val="1"/>
                <w:color w:val="auto"/>
              </w:rPr>
            </w:pPr>
          </w:p>
        </w:tc>
      </w:tr>
      <w:tr>
        <w:trPr>
          <w:trHeight w:val="198"/>
        </w:trPr>
        <w:tc>
          <w:tcPr>
            <w:tcW w:w="2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equity, warrants</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other</w:t>
            </w:r>
          </w:p>
        </w:tc>
        <w:tc>
          <w:tcPr>
            <w:tcW w:w="10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88,029</w:t>
            </w:r>
          </w:p>
        </w:tc>
        <w:tc>
          <w:tcPr>
            <w:tcW w:w="120" w:type="dxa"/>
            <w:vAlign w:val="bottom"/>
          </w:tcPr>
          <w:p>
            <w:pPr>
              <w:spacing w:after="0"/>
              <w:rPr>
                <w:sz w:val="20"/>
                <w:szCs w:val="20"/>
                <w:color w:val="auto"/>
              </w:rPr>
            </w:pP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EBITDA multiples</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6.00x</w:t>
            </w:r>
          </w:p>
        </w:tc>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- 14.75x (12.33x)</w:t>
            </w:r>
          </w:p>
        </w:tc>
        <w:tc>
          <w:tcPr>
            <w:tcW w:w="0" w:type="dxa"/>
            <w:vAlign w:val="bottom"/>
          </w:tcPr>
          <w:p>
            <w:pPr>
              <w:spacing w:after="0"/>
              <w:rPr>
                <w:sz w:val="1"/>
                <w:szCs w:val="1"/>
                <w:color w:val="auto"/>
              </w:rPr>
            </w:pPr>
          </w:p>
        </w:tc>
      </w:tr>
      <w:tr>
        <w:trPr>
          <w:trHeight w:val="198"/>
        </w:trPr>
        <w:tc>
          <w:tcPr>
            <w:tcW w:w="25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equity, warrants</w:t>
            </w:r>
          </w:p>
        </w:tc>
        <w:tc>
          <w:tcPr>
            <w:tcW w:w="100" w:type="dxa"/>
            <w:vAlign w:val="bottom"/>
            <w:shd w:val="clear" w:color="auto" w:fill="CFF0FC"/>
          </w:tcPr>
          <w:p>
            <w:pPr>
              <w:spacing w:after="0"/>
              <w:rPr>
                <w:sz w:val="17"/>
                <w:szCs w:val="17"/>
                <w:color w:val="auto"/>
              </w:rPr>
            </w:pPr>
          </w:p>
        </w:tc>
        <w:tc>
          <w:tcPr>
            <w:tcW w:w="17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other</w:t>
            </w:r>
          </w:p>
        </w:tc>
        <w:tc>
          <w:tcPr>
            <w:tcW w:w="10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1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Revenue multiples</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0.35x</w:t>
            </w:r>
          </w:p>
        </w:tc>
        <w:tc>
          <w:tcPr>
            <w:tcW w:w="21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- 0.50x (0.44x)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-8255</wp:posOffset>
            </wp:positionV>
            <wp:extent cx="768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ind w:left="3640" w:hanging="1148"/>
        <w:spacing w:after="0"/>
        <w:tabs>
          <w:tab w:leader="none" w:pos="3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327,206</w:t>
      </w:r>
    </w:p>
    <w:p>
      <w:pPr>
        <w:spacing w:after="0" w:line="15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is calculated based on the fair value of investments.</w:t>
      </w:r>
    </w:p>
    <w:p>
      <w:pPr>
        <w:spacing w:after="0" w:line="27" w:lineRule="exact"/>
        <w:rPr>
          <w:rFonts w:ascii="Times New Roman" w:cs="Times New Roman" w:eastAsia="Times New Roman" w:hAnsi="Times New Roman"/>
          <w:sz w:val="18"/>
          <w:szCs w:val="18"/>
          <w:color w:val="auto"/>
        </w:rPr>
      </w:pPr>
    </w:p>
    <w:p>
      <w:pPr>
        <w:ind w:left="380" w:right="280" w:hanging="372"/>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flows utilized in the discounted cash flow calculations assume: (i) liquidation of (a) certain distressed investments and (b) all investments currently in default held by the issuing CLO at their current market prices; and (ii) redeployment of proceeds at the issuing CLO’s assumed reinvestment rate.</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liquidation represents the fair value, or estimated expected residual value,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-782320</wp:posOffset>
            </wp:positionV>
            <wp:extent cx="11912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-765175</wp:posOffset>
            </wp:positionV>
            <wp:extent cx="11912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Changes in market credit spreads or events impacting the credit quality of the underlying portfolio company (both of which could impact the discount rate), as well as changes in enterprise value and/or EBITDA multiples, among other things, could have a significant impact on fair values, with the fair value of a particular debt investment susceptible to change in inverse relation to the changes in the discount rate. Changes in enterprise value and/or EBITDA multiples, as well as changes in the discount rate, could have a significant impact on fair values, with the fair value of an equity investment susceptible to change in tandem with the changes in enterprise value and/or EBITDA multiples, and in inverse relation to changes in the discount rate. Due to the wide range of approaches in developing input assumptions to these valuation techniques and the degree of subjectivity used in making the estimates, comparisons between the Company’s disclosures and those of other companies may not be meaningful.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investments measured at fair value using Level 3 inputs for the three months ended March 31, 2026 and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14"/>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4"/>
          </w:tcPr>
          <w:p>
            <w:pPr>
              <w:jc w:val="center"/>
              <w:ind w:right="168"/>
              <w:spacing w:after="0"/>
              <w:rPr>
                <w:sz w:val="20"/>
                <w:szCs w:val="20"/>
                <w:color w:val="auto"/>
              </w:rPr>
            </w:pPr>
            <w:r>
              <w:rPr>
                <w:rFonts w:ascii="Times New Roman" w:cs="Times New Roman" w:eastAsia="Times New Roman" w:hAnsi="Times New Roman"/>
                <w:sz w:val="16"/>
                <w:szCs w:val="16"/>
                <w:b w:val="1"/>
                <w:bCs w:val="1"/>
                <w:color w:val="auto"/>
                <w:w w:val="99"/>
              </w:rPr>
              <w:t>First Lien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rPr>
              <w:t>Second Lien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Structured</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center"/>
              <w:ind w:left="124"/>
              <w:spacing w:after="0"/>
              <w:rPr>
                <w:sz w:val="20"/>
                <w:szCs w:val="20"/>
                <w:color w:val="auto"/>
              </w:rPr>
            </w:pPr>
            <w:r>
              <w:rPr>
                <w:rFonts w:ascii="Times New Roman" w:cs="Times New Roman" w:eastAsia="Times New Roman" w:hAnsi="Times New Roman"/>
                <w:sz w:val="16"/>
                <w:szCs w:val="16"/>
                <w:b w:val="1"/>
                <w:bCs w:val="1"/>
                <w:color w:val="auto"/>
                <w:w w:val="97"/>
              </w:rPr>
              <w:t>Debt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left="44"/>
              <w:spacing w:after="0"/>
              <w:rPr>
                <w:sz w:val="20"/>
                <w:szCs w:val="20"/>
                <w:color w:val="auto"/>
              </w:rPr>
            </w:pPr>
            <w:r>
              <w:rPr>
                <w:rFonts w:ascii="Times New Roman" w:cs="Times New Roman" w:eastAsia="Times New Roman" w:hAnsi="Times New Roman"/>
                <w:sz w:val="16"/>
                <w:szCs w:val="16"/>
                <w:b w:val="1"/>
                <w:bCs w:val="1"/>
                <w:color w:val="auto"/>
              </w:rPr>
              <w:t>Debt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auto"/>
            </w:tcBorders>
            <w:gridSpan w:val="5"/>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center"/>
              <w:ind w:right="165"/>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Level 3 assets, December 31, 2025</w:t>
            </w:r>
          </w:p>
        </w:tc>
        <w:tc>
          <w:tcPr>
            <w:tcW w:w="3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155,596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rPr>
              <w:t>9,409</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12,567</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88,029</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61,605</w:t>
            </w:r>
          </w:p>
        </w:tc>
        <w:tc>
          <w:tcPr>
            <w:tcW w:w="40" w:type="dxa"/>
            <w:vAlign w:val="bottom"/>
            <w:shd w:val="clear" w:color="auto" w:fill="CFF0FC"/>
          </w:tcPr>
          <w:p>
            <w:pPr>
              <w:spacing w:after="0"/>
              <w:rPr>
                <w:sz w:val="17"/>
                <w:szCs w:val="17"/>
                <w:color w:val="auto"/>
              </w:rPr>
            </w:pPr>
          </w:p>
        </w:tc>
        <w:tc>
          <w:tcPr>
            <w:tcW w:w="3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327,206</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loss on investments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(4,723)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(11,361)</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unrealized appreciation (depreciation) on investments</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rPr>
              <w:t>1,044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6,862</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(9,122)</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Net Loan Fees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18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interest income on Structured Finance</w:t>
            </w: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Securities</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2,492</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2,492</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Capitalized PIK interest and dividends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03"/>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Amendment fees received</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Purchase and origination of portfolio investments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4"/>
          </w:tcPr>
          <w:p>
            <w:pPr>
              <w:jc w:val="right"/>
              <w:ind w:right="68"/>
              <w:spacing w:after="0"/>
              <w:rPr>
                <w:sz w:val="20"/>
                <w:szCs w:val="20"/>
                <w:color w:val="auto"/>
              </w:rPr>
            </w:pPr>
            <w:r>
              <w:rPr>
                <w:rFonts w:ascii="Times New Roman" w:cs="Times New Roman" w:eastAsia="Times New Roman" w:hAnsi="Times New Roman"/>
                <w:sz w:val="16"/>
                <w:szCs w:val="16"/>
                <w:color w:val="auto"/>
              </w:rPr>
              <w:t>1,614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1,614</w:t>
            </w:r>
          </w:p>
        </w:tc>
        <w:tc>
          <w:tcPr>
            <w:tcW w:w="0" w:type="dxa"/>
            <w:vAlign w:val="bottom"/>
          </w:tcPr>
          <w:p>
            <w:pPr>
              <w:spacing w:after="0"/>
              <w:rPr>
                <w:sz w:val="1"/>
                <w:szCs w:val="1"/>
                <w:color w:val="auto"/>
              </w:rPr>
            </w:pPr>
          </w:p>
        </w:tc>
      </w:tr>
      <w:tr>
        <w:trPr>
          <w:trHeight w:val="18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principal payments on portfolio</w:t>
            </w: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Sale and redemption of portfolio investments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(9,447)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(12,081)</w:t>
            </w:r>
          </w:p>
        </w:tc>
        <w:tc>
          <w:tcPr>
            <w:tcW w:w="0" w:type="dxa"/>
            <w:vAlign w:val="bottom"/>
          </w:tcPr>
          <w:p>
            <w:pPr>
              <w:spacing w:after="0"/>
              <w:rPr>
                <w:sz w:val="1"/>
                <w:szCs w:val="1"/>
                <w:color w:val="auto"/>
              </w:rPr>
            </w:pPr>
          </w:p>
        </w:tc>
      </w:tr>
      <w:tr>
        <w:trPr>
          <w:trHeight w:val="18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distributions received from portfolio</w:t>
            </w: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40" w:type="dxa"/>
            <w:vAlign w:val="bottom"/>
            <w:tcBorders>
              <w:bottom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Level 3 assets, March 31, 2026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6"/>
                <w:szCs w:val="16"/>
                <w:color w:val="auto"/>
              </w:rPr>
              <w:t>139,939</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6"/>
                <w:szCs w:val="16"/>
                <w:color w:val="auto"/>
              </w:rPr>
              <w:t>3,869</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12,726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90,168</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48,644</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295,346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1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4"/>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Second Lien</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3"/>
          </w:tcPr>
          <w:p>
            <w:pPr>
              <w:jc w:val="center"/>
              <w:ind w:right="304"/>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424"/>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auto"/>
            </w:tcBorders>
            <w:gridSpan w:val="4"/>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Level 3 assets, December 31, 2024</w:t>
            </w:r>
          </w:p>
        </w:tc>
        <w:tc>
          <w:tcPr>
            <w:tcW w:w="320" w:type="dxa"/>
            <w:vAlign w:val="bottom"/>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168,037</w:t>
            </w:r>
          </w:p>
        </w:tc>
        <w:tc>
          <w:tcPr>
            <w:tcW w:w="440" w:type="dxa"/>
            <w:vAlign w:val="bottom"/>
            <w:gridSpan w:val="3"/>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4"/>
              <w:spacing w:after="0" w:line="142" w:lineRule="exact"/>
              <w:rPr>
                <w:sz w:val="20"/>
                <w:szCs w:val="20"/>
                <w:color w:val="auto"/>
              </w:rPr>
            </w:pPr>
            <w:r>
              <w:rPr>
                <w:rFonts w:ascii="Times New Roman" w:cs="Times New Roman" w:eastAsia="Times New Roman" w:hAnsi="Times New Roman"/>
                <w:sz w:val="14"/>
                <w:szCs w:val="14"/>
                <w:color w:val="auto"/>
              </w:rPr>
              <w:t>34,331</w:t>
            </w:r>
          </w:p>
        </w:tc>
        <w:tc>
          <w:tcPr>
            <w:tcW w:w="340" w:type="dxa"/>
            <w:vAlign w:val="bottom"/>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12,248</w:t>
            </w:r>
          </w:p>
        </w:tc>
        <w:tc>
          <w:tcPr>
            <w:tcW w:w="10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96,337</w:t>
            </w:r>
          </w:p>
        </w:tc>
        <w:tc>
          <w:tcPr>
            <w:tcW w:w="1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4"/>
              <w:spacing w:after="0" w:line="142" w:lineRule="exact"/>
              <w:rPr>
                <w:sz w:val="20"/>
                <w:szCs w:val="20"/>
                <w:color w:val="auto"/>
              </w:rPr>
            </w:pPr>
            <w:r>
              <w:rPr>
                <w:rFonts w:ascii="Times New Roman" w:cs="Times New Roman" w:eastAsia="Times New Roman" w:hAnsi="Times New Roman"/>
                <w:sz w:val="14"/>
                <w:szCs w:val="14"/>
                <w:color w:val="auto"/>
              </w:rPr>
              <w:t>76,875</w:t>
            </w:r>
          </w:p>
        </w:tc>
        <w:tc>
          <w:tcPr>
            <w:tcW w:w="40" w:type="dxa"/>
            <w:vAlign w:val="bottom"/>
            <w:shd w:val="clear" w:color="auto" w:fill="CFF0FC"/>
          </w:tcPr>
          <w:p>
            <w:pPr>
              <w:spacing w:after="0"/>
              <w:rPr>
                <w:sz w:val="12"/>
                <w:szCs w:val="12"/>
                <w:color w:val="auto"/>
              </w:rPr>
            </w:pPr>
          </w:p>
        </w:tc>
        <w:tc>
          <w:tcPr>
            <w:tcW w:w="300" w:type="dxa"/>
            <w:vAlign w:val="bottom"/>
            <w:gridSpan w:val="3"/>
            <w:shd w:val="clear" w:color="auto" w:fill="CFF0FC"/>
          </w:tcPr>
          <w:p>
            <w:pPr>
              <w:jc w:val="right"/>
              <w:ind w:right="79"/>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4"/>
              <w:spacing w:after="0" w:line="142" w:lineRule="exact"/>
              <w:rPr>
                <w:sz w:val="20"/>
                <w:szCs w:val="20"/>
                <w:color w:val="auto"/>
              </w:rPr>
            </w:pPr>
            <w:r>
              <w:rPr>
                <w:rFonts w:ascii="Times New Roman" w:cs="Times New Roman" w:eastAsia="Times New Roman" w:hAnsi="Times New Roman"/>
                <w:sz w:val="14"/>
                <w:szCs w:val="14"/>
                <w:color w:val="auto"/>
              </w:rPr>
              <w:t>387,828</w:t>
            </w: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loss on investments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4"/>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(1,771)</w:t>
            </w:r>
          </w:p>
        </w:tc>
        <w:tc>
          <w:tcPr>
            <w:tcW w:w="0" w:type="dxa"/>
            <w:vAlign w:val="bottom"/>
          </w:tcPr>
          <w:p>
            <w:pPr>
              <w:spacing w:after="0"/>
              <w:rPr>
                <w:sz w:val="1"/>
                <w:szCs w:val="1"/>
                <w:color w:val="auto"/>
              </w:rPr>
            </w:pPr>
          </w:p>
        </w:tc>
      </w:tr>
      <w:tr>
        <w:trPr>
          <w:trHeight w:val="148"/>
        </w:trPr>
        <w:tc>
          <w:tcPr>
            <w:tcW w:w="3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unrealized appreciation (depreciation) on investments</w:t>
            </w: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(3,893)</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
              <w:spacing w:after="0" w:line="149" w:lineRule="exact"/>
              <w:rPr>
                <w:sz w:val="20"/>
                <w:szCs w:val="20"/>
                <w:color w:val="auto"/>
              </w:rPr>
            </w:pPr>
            <w:r>
              <w:rPr>
                <w:rFonts w:ascii="Times New Roman" w:cs="Times New Roman" w:eastAsia="Times New Roman" w:hAnsi="Times New Roman"/>
                <w:sz w:val="14"/>
                <w:szCs w:val="14"/>
                <w:color w:val="auto"/>
              </w:rPr>
              <w:t>(3,080)</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4"/>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(7,928)</w:t>
            </w: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Net Loan Fees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4"/>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26"/>
        </w:trPr>
        <w:tc>
          <w:tcPr>
            <w:tcW w:w="3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Accretion of interest income on Structured Finance</w:t>
            </w:r>
          </w:p>
        </w:tc>
        <w:tc>
          <w:tcPr>
            <w:tcW w:w="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2,925</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2,925</w:t>
            </w:r>
          </w:p>
        </w:tc>
        <w:tc>
          <w:tcPr>
            <w:tcW w:w="0" w:type="dxa"/>
            <w:vAlign w:val="bottom"/>
          </w:tcPr>
          <w:p>
            <w:pPr>
              <w:spacing w:after="0"/>
              <w:rPr>
                <w:sz w:val="1"/>
                <w:szCs w:val="1"/>
                <w:color w:val="auto"/>
              </w:rPr>
            </w:pPr>
          </w:p>
        </w:tc>
      </w:tr>
      <w:tr>
        <w:trPr>
          <w:trHeight w:val="171"/>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Securities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Capitalized PIK interest and dividends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4"/>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48"/>
        </w:trPr>
        <w:tc>
          <w:tcPr>
            <w:tcW w:w="3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Amendment fees received</w:t>
            </w: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4"/>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3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and origination of portfolio investments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4"/>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color w:val="auto"/>
              </w:rPr>
              <w:t>5,776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color w:val="auto"/>
              </w:rPr>
              <w:t>10,411</w:t>
            </w:r>
          </w:p>
        </w:tc>
        <w:tc>
          <w:tcPr>
            <w:tcW w:w="0" w:type="dxa"/>
            <w:vAlign w:val="bottom"/>
          </w:tcPr>
          <w:p>
            <w:pPr>
              <w:spacing w:after="0"/>
              <w:rPr>
                <w:sz w:val="1"/>
                <w:szCs w:val="1"/>
                <w:color w:val="auto"/>
              </w:rPr>
            </w:pPr>
          </w:p>
        </w:tc>
      </w:tr>
      <w:tr>
        <w:trPr>
          <w:trHeight w:val="126"/>
        </w:trPr>
        <w:tc>
          <w:tcPr>
            <w:tcW w:w="3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Proceeds from principal payments on portfolio</w:t>
            </w:r>
          </w:p>
        </w:tc>
        <w:tc>
          <w:tcPr>
            <w:tcW w:w="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0" w:type="dxa"/>
            <w:vAlign w:val="bottom"/>
          </w:tcPr>
          <w:p>
            <w:pPr>
              <w:spacing w:after="0"/>
              <w:rPr>
                <w:sz w:val="1"/>
                <w:szCs w:val="1"/>
                <w:color w:val="auto"/>
              </w:rPr>
            </w:pPr>
          </w:p>
        </w:tc>
      </w:tr>
      <w:tr>
        <w:trPr>
          <w:trHeight w:val="171"/>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 and redemption of portfolio investments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4"/>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126"/>
        </w:trPr>
        <w:tc>
          <w:tcPr>
            <w:tcW w:w="3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Proceeds from distributions received from portfolio</w:t>
            </w:r>
          </w:p>
        </w:tc>
        <w:tc>
          <w:tcPr>
            <w:tcW w:w="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0" w:type="dxa"/>
            <w:vAlign w:val="bottom"/>
          </w:tcPr>
          <w:p>
            <w:pPr>
              <w:spacing w:after="0"/>
              <w:rPr>
                <w:sz w:val="1"/>
                <w:szCs w:val="1"/>
                <w:color w:val="auto"/>
              </w:rPr>
            </w:pPr>
          </w:p>
        </w:tc>
      </w:tr>
      <w:tr>
        <w:trPr>
          <w:trHeight w:val="171"/>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investments</w:t>
            </w: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Level 3 assets, March 31, 2025</w:t>
            </w: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165,754</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color w:val="auto"/>
              </w:rPr>
              <w:t>31,547</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10,615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97,060</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color w:val="auto"/>
              </w:rPr>
              <w:t>79,534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bottom w:val="single" w:sz="8" w:color="auto"/>
            </w:tcBorders>
            <w:gridSpan w:val="2"/>
          </w:tcPr>
          <w:p>
            <w:pPr>
              <w:jc w:val="right"/>
              <w:ind w:right="7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color w:val="auto"/>
              </w:rPr>
              <w:t>384,510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net unrealized depreciation reported in the Company’s consolidated statements of operations for the three months ended March 31, 2026 and 2025, attributable to the Company’s Level 3 assets still held at those respective period ends, was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0" w:type="dxa"/>
            <w:vAlign w:val="bottom"/>
            <w:tcBorders>
              <w:bottom w:val="single" w:sz="8" w:color="auto"/>
            </w:tcBorders>
          </w:tcPr>
          <w:p>
            <w:pPr>
              <w:spacing w:after="0"/>
              <w:rPr>
                <w:sz w:val="20"/>
                <w:szCs w:val="20"/>
                <w:color w:val="auto"/>
              </w:rPr>
            </w:pPr>
          </w:p>
        </w:tc>
      </w:tr>
      <w:tr>
        <w:trPr>
          <w:trHeight w:val="209"/>
        </w:trPr>
        <w:tc>
          <w:tcPr>
            <w:tcW w:w="76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02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24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(6,969)</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0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 held</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12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w:t>
            </w: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Assets and Liabilities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GAAP requires disclosure of the fair value of financial instruments not reported at fair value on a recurring basis for which it is practical to estimate such values. The Company believes that the carrying amounts of its other financial instruments, such as cash, cash equivalents, receivables and payables approximate the fair value of such items due to the short maturity of such financial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instruments. The Banc of California Credit Facility and Natixis Facility are variable rate instruments and fair value is estimated to approximate carrying value.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carrying values and fair values of the Company’s debt as of March 31, 2026 and December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67"/>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50"/>
              <w:spacing w:after="0" w:line="167"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350"/>
              <w:spacing w:after="0" w:line="167"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58"/>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0"/>
              <w:spacing w:after="0" w:line="258" w:lineRule="exact"/>
              <w:rPr>
                <w:sz w:val="20"/>
                <w:szCs w:val="20"/>
                <w:color w:val="auto"/>
              </w:rPr>
            </w:pP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10"/>
              <w:spacing w:after="0" w:line="258" w:lineRule="exact"/>
              <w:rPr>
                <w:sz w:val="20"/>
                <w:szCs w:val="20"/>
                <w:color w:val="auto"/>
              </w:rPr>
            </w:pP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Banc of California Credit Facility</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8,750</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4,500</w:t>
            </w:r>
          </w:p>
        </w:tc>
      </w:tr>
      <w:tr>
        <w:trPr>
          <w:trHeight w:val="216"/>
        </w:trPr>
        <w:tc>
          <w:tcPr>
            <w:tcW w:w="48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BNP Facility</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50,950</w:t>
            </w: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Natixis Facility</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44,700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44,700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Notes Due February 2026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15,961</w:t>
            </w: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Notes Due July 2028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68,471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71,015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67,498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70,877</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Notes Due October 2028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54,420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52,118</w:t>
            </w: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 Due August 2029</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24,332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24,908</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24,282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25,333</w:t>
            </w: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199,896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201,931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217,638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219,739</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-170815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value is calculated as the outstanding principal amount less unamortized deferred debt issuance costs.</w:t>
      </w:r>
    </w:p>
    <w:p>
      <w:pPr>
        <w:spacing w:after="0" w:line="49"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2026, in connection with the closing of the Natixis Facility, OFSCC-FS repaid in full all outstanding obligations due, and terminated all commitments, under the BNP Facility.</w:t>
      </w:r>
    </w:p>
    <w:p>
      <w:pPr>
        <w:spacing w:after="0" w:line="54"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measurements of the Company’s debt and the level within the fair value hierarchy of the significant unobservable inputs utilized by the Company to determine such fair values as of March 31, 2026 and December 31,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72"/>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50"/>
              <w:spacing w:after="0" w:line="272" w:lineRule="exact"/>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50"/>
              <w:spacing w:after="0" w:line="272" w:lineRule="exact"/>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24"/>
                <w:szCs w:val="24"/>
                <w:b w:val="1"/>
                <w:bCs w:val="1"/>
                <w:color w:val="auto"/>
                <w:vertAlign w:val="superscript"/>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3"/>
                <w:szCs w:val="23"/>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Banc of California Credit Facility</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2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Natixis Facility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44,700</w:t>
            </w:r>
          </w:p>
        </w:tc>
        <w:tc>
          <w:tcPr>
            <w:tcW w:w="12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Notes Due July 2028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71,015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71,015</w:t>
            </w:r>
          </w:p>
        </w:tc>
        <w:tc>
          <w:tcPr>
            <w:tcW w:w="12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Notes Due October 2028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52,558</w:t>
            </w:r>
          </w:p>
        </w:tc>
        <w:tc>
          <w:tcPr>
            <w:tcW w:w="12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 Due August 2029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debt, at fair value</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123,573</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78,358</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201,931</w:t>
            </w:r>
          </w:p>
        </w:tc>
        <w:tc>
          <w:tcPr>
            <w:tcW w:w="12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6"/>
        </w:trPr>
        <w:tc>
          <w:tcPr>
            <w:tcW w:w="4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2"/>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50"/>
              <w:spacing w:after="0" w:line="272" w:lineRule="exact"/>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24"/>
                <w:szCs w:val="24"/>
                <w:b w:val="1"/>
                <w:bCs w:val="1"/>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50"/>
              <w:spacing w:after="0" w:line="272" w:lineRule="exact"/>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24"/>
                <w:szCs w:val="24"/>
                <w:b w:val="1"/>
                <w:bCs w:val="1"/>
                <w:color w:val="auto"/>
                <w:vertAlign w:val="superscript"/>
              </w:rPr>
              <w:t>(2)</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Banc of California Credit Facility</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BNP Facility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50,950</w:t>
            </w:r>
          </w:p>
        </w:tc>
        <w:tc>
          <w:tcPr>
            <w:tcW w:w="12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Notes Due February 2026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12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Notes Due July 2028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70,877</w:t>
            </w:r>
          </w:p>
        </w:tc>
        <w:tc>
          <w:tcPr>
            <w:tcW w:w="12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Notes Due October 2028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52,118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52,118</w:t>
            </w:r>
          </w:p>
        </w:tc>
        <w:tc>
          <w:tcPr>
            <w:tcW w:w="12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 Due August 2029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25,333</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25,333</w:t>
            </w:r>
          </w:p>
        </w:tc>
        <w:tc>
          <w:tcPr>
            <w:tcW w:w="120" w:type="dxa"/>
            <w:vAlign w:val="bottom"/>
            <w:tcBorders>
              <w:bottom w:val="single" w:sz="8" w:color="auto"/>
            </w:tcBorders>
          </w:tcPr>
          <w:p>
            <w:pPr>
              <w:spacing w:after="0"/>
              <w:rPr>
                <w:sz w:val="18"/>
                <w:szCs w:val="18"/>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at fair value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122,995</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96,744</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219,739</w:t>
            </w:r>
          </w:p>
        </w:tc>
        <w:tc>
          <w:tcPr>
            <w:tcW w:w="120" w:type="dxa"/>
            <w:vAlign w:val="bottom"/>
            <w:shd w:val="clear" w:color="auto" w:fill="CFF0FC"/>
          </w:tcPr>
          <w:p>
            <w:pPr>
              <w:spacing w:after="0"/>
              <w:rPr>
                <w:sz w:val="19"/>
                <w:szCs w:val="19"/>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-2373630</wp:posOffset>
            </wp:positionV>
            <wp:extent cx="39090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-1533525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-1533525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-1533525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-1533525</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-1148080</wp:posOffset>
            </wp:positionV>
            <wp:extent cx="398589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98589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Level 1 measurements, fair value is estimated by using the closing price of the security on The Nasdaq Global Select Market.</w:t>
      </w:r>
    </w:p>
    <w:p>
      <w:pPr>
        <w:spacing w:after="0" w:line="36"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Level 3 measurements, fair value is estimated through discounting remaining payments using current market rates for similar instruments at the measurement date through the legal maturity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outstanding commitments to fund investments to portfolio companies as of March 31,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Pr>
          <w:p>
            <w:pPr>
              <w:spacing w:after="0"/>
              <w:rPr>
                <w:sz w:val="20"/>
                <w:szCs w:val="20"/>
                <w:color w:val="auto"/>
              </w:rPr>
            </w:pPr>
          </w:p>
        </w:tc>
        <w:tc>
          <w:tcPr>
            <w:tcW w:w="3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Commitment</w:t>
            </w: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 Interactive, LLC (D/B/A PerkSpot)</w:t>
            </w:r>
          </w:p>
        </w:tc>
        <w:tc>
          <w:tcPr>
            <w:tcW w:w="22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Associated Spring, LLC</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1,276</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Boca Home Care Holdings, Inc.</w:t>
            </w:r>
          </w:p>
        </w:tc>
        <w:tc>
          <w:tcPr>
            <w:tcW w:w="22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1,065</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Clevertech Bidco, LLC</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Honor HN Buyer Inc.</w:t>
            </w:r>
          </w:p>
        </w:tc>
        <w:tc>
          <w:tcPr>
            <w:tcW w:w="22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Honor HN Buyer Inc.</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 Love Produce, LLC</w:t>
            </w:r>
          </w:p>
        </w:tc>
        <w:tc>
          <w:tcPr>
            <w:tcW w:w="22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 Love Produce, LLC</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Integrated Energy Services, LLC</w:t>
            </w:r>
          </w:p>
        </w:tc>
        <w:tc>
          <w:tcPr>
            <w:tcW w:w="22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Integrated Energy Services, LLC</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Medrina LLC</w:t>
            </w:r>
          </w:p>
        </w:tc>
        <w:tc>
          <w:tcPr>
            <w:tcW w:w="22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PSB Group, LLC</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SS Acquisition, LLC</w:t>
            </w:r>
          </w:p>
        </w:tc>
        <w:tc>
          <w:tcPr>
            <w:tcW w:w="22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1,286</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SSJA Bariatric Management LLC</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Tolemar Acquisition, Inc.</w:t>
            </w:r>
          </w:p>
        </w:tc>
        <w:tc>
          <w:tcPr>
            <w:tcW w:w="220" w:type="dxa"/>
            <w:vAlign w:val="bottom"/>
            <w:tcBorders>
              <w:bottom w:val="single" w:sz="8" w:color="CFF0FC"/>
            </w:tcBorders>
            <w:shd w:val="clear" w:color="auto" w:fill="CFF0FC"/>
          </w:tcPr>
          <w:p>
            <w:pPr>
              <w:spacing w:after="0"/>
              <w:rPr>
                <w:sz w:val="18"/>
                <w:szCs w:val="18"/>
                <w:color w:val="auto"/>
              </w:rPr>
            </w:pPr>
          </w:p>
        </w:tc>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r>
      <w:tr>
        <w:trPr>
          <w:trHeight w:val="209"/>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7,813</w:t>
            </w:r>
          </w:p>
        </w:tc>
      </w:tr>
      <w:tr>
        <w:trPr>
          <w:trHeight w:val="20"/>
        </w:trPr>
        <w:tc>
          <w:tcPr>
            <w:tcW w:w="5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accordance with ASC 820, the Company considers undrawn amounts in the determination of fair value on its revolving lines of credit and delayed draw term loans. As of March 31, 2026, the Company had cash and cash equivalents of $3,258 and an unused commitment of $6,250 under its Banc of California Credit Facility and $35,300 under its Natixis Facility, each of which is subject to the terms of the borrowing base and other covenants, to fund these outstanding commitments to portfolio companies.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outstanding commitments to fund investments to portfolio companies as of December 31,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20" w:type="dxa"/>
            <w:vAlign w:val="bottom"/>
          </w:tcPr>
          <w:p>
            <w:pPr>
              <w:spacing w:after="0"/>
              <w:rPr>
                <w:sz w:val="20"/>
                <w:szCs w:val="20"/>
                <w:color w:val="auto"/>
              </w:rPr>
            </w:pPr>
          </w:p>
        </w:tc>
        <w:tc>
          <w:tcPr>
            <w:tcW w:w="3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00" w:type="dxa"/>
            <w:vAlign w:val="bottom"/>
          </w:tcPr>
          <w:p>
            <w:pPr>
              <w:spacing w:after="0"/>
              <w:rPr>
                <w:sz w:val="20"/>
                <w:szCs w:val="20"/>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 Interactive, LLC (D/B/A PerkSpot)</w:t>
            </w:r>
          </w:p>
        </w:tc>
        <w:tc>
          <w:tcPr>
            <w:tcW w:w="3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Associated Spring, LLC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Avison Young Inc.</w:t>
            </w:r>
          </w:p>
        </w:tc>
        <w:tc>
          <w:tcPr>
            <w:tcW w:w="3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Boca Home Care Holdings, Inc.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Clevertech Bidco, LLC</w:t>
            </w:r>
          </w:p>
        </w:tc>
        <w:tc>
          <w:tcPr>
            <w:tcW w:w="3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Envocore Holding, LLC (F/K/A LRI Holding, LLC)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Honor HN Buyer Inc.</w:t>
            </w:r>
          </w:p>
        </w:tc>
        <w:tc>
          <w:tcPr>
            <w:tcW w:w="3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Honor HN Buyer Inc.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Integrated Energy Services, LLC</w:t>
            </w:r>
          </w:p>
        </w:tc>
        <w:tc>
          <w:tcPr>
            <w:tcW w:w="3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Integrated Energy Services, LLC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Medrina LLC</w:t>
            </w:r>
          </w:p>
        </w:tc>
        <w:tc>
          <w:tcPr>
            <w:tcW w:w="3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PSB Group, LLC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SS Acquisition, LLC</w:t>
            </w:r>
          </w:p>
        </w:tc>
        <w:tc>
          <w:tcPr>
            <w:tcW w:w="3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SSJA Bariatric Management LLC</w:t>
            </w: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Lien Debt (Delayed Draw)</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r>
      <w:tr>
        <w:trPr>
          <w:trHeight w:val="216"/>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Tolemar Acquisition, Inc.</w:t>
            </w:r>
          </w:p>
        </w:tc>
        <w:tc>
          <w:tcPr>
            <w:tcW w:w="33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First Lien Debt (Revolver)</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10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Legal and regulatory proceedings: </w:t>
      </w:r>
      <w:r>
        <w:rPr>
          <w:rFonts w:ascii="Times New Roman" w:cs="Times New Roman" w:eastAsia="Times New Roman" w:hAnsi="Times New Roman"/>
          <w:sz w:val="18"/>
          <w:szCs w:val="18"/>
          <w:color w:val="auto"/>
        </w:rPr>
        <w:t>From time to time, the Company is involved in legal proceedings in the normal course of its business. Although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outcome of such litigation cannot be predicted with any certainty, management is of the opinion, based on the advice of legal counsel, that final disposition of any litigation should not have a material adverse effect on the financial position of the Company as of March 31, 2026.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is subject to periodic inspection by regulators to assess compliance with applicable BDC regulations.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Indemnifications: </w:t>
      </w: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that provide for general indemnification. The Company’s maximum exposure under these arrangements is unknown, as this would involve future claims that may be made against the Company that have not yet occurred. The Company believes the risk of any material obligation under these indemnifications to be 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Borrowings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Natixis Facility: </w:t>
      </w:r>
      <w:r>
        <w:rPr>
          <w:rFonts w:ascii="Times New Roman" w:cs="Times New Roman" w:eastAsia="Times New Roman" w:hAnsi="Times New Roman"/>
          <w:sz w:val="18"/>
          <w:szCs w:val="18"/>
          <w:color w:val="auto"/>
        </w:rPr>
        <w:t>On February 18, 2026, OFSCC-FS entered into the Natixis Facility, which provides for borrowings in an aggregate principal amount 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$80,000. Borrowings under the Natixis Facility bear interest at a rate based on SOFR plus a margin of 2.35%. The Natixis Facility also includes a fee of 0.40% on the unused amount of the facility, as well as an arranger fee of 0.20% on the total commitment amount of the facility. The reinvestment period during which OFSCC-FS is permitted to borrow terminates on February 18, 2029, and the facility is scheduled to mature on February 18, 2031.</w:t>
      </w:r>
    </w:p>
    <w:p>
      <w:pPr>
        <w:spacing w:after="0" w:line="3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March 31, 2026, the Natixis Facility had outstanding debt of $44,700, the unused commitment under the Natixis Facility was $35,300, subject to a borrowing base and other covenants, and the stated interest rate on the Natixis Facility was 6.05%.</w:t>
      </w:r>
    </w:p>
    <w:p>
      <w:pPr>
        <w:spacing w:after="0" w:line="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Borrowings under the Natixis Facility are secured by substantially all of the assets held by OFSCC-FS, which were $114,679 at March 31, 2026. The Company’s use of cash and cash equivalents held by OFSCC-FS is limited by the terms and conditions of the Natixis Facility, including but not limited to, the payment of interest expense and principal on the outstanding borrowings. As of March 31, 2026 and December 31, 2025, OFSCC-FS had cash and cash equivalents of $2,619 and $2,443, respectively. OFSCC-FS and the Company have each made customary representations and warranties under the Natixis Facility and are required to comply with various covenants, reporting requirements and other customary requirements for similar credit facilities.</w:t>
      </w:r>
    </w:p>
    <w:p>
      <w:pPr>
        <w:spacing w:after="0" w:line="3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components of interest expense, cash paid for interest, effective interest rates and average outstanding balances for the Natixis Facility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304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Stated interest expense</w:t>
            </w:r>
            <w:r>
              <w:rPr>
                <w:rFonts w:ascii="Times New Roman" w:cs="Times New Roman" w:eastAsia="Times New Roman" w:hAnsi="Times New Roman"/>
                <w:sz w:val="24"/>
                <w:szCs w:val="24"/>
                <w:color w:val="auto"/>
                <w:vertAlign w:val="superscript"/>
              </w:rPr>
              <w:t>(1)</w:t>
            </w:r>
          </w:p>
        </w:tc>
        <w:tc>
          <w:tcPr>
            <w:tcW w:w="100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interest and debt financing costs</w:t>
            </w:r>
          </w:p>
        </w:tc>
        <w:tc>
          <w:tcPr>
            <w:tcW w:w="100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100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124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10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Average outstanding balance</w:t>
            </w:r>
          </w:p>
        </w:tc>
        <w:tc>
          <w:tcPr>
            <w:tcW w:w="100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24,374</w:t>
            </w:r>
          </w:p>
        </w:tc>
        <w:tc>
          <w:tcPr>
            <w:tcW w:w="260" w:type="dxa"/>
            <w:vAlign w:val="bottom"/>
          </w:tcPr>
          <w:p>
            <w:pPr>
              <w:spacing w:after="0"/>
              <w:rPr>
                <w:sz w:val="20"/>
                <w:szCs w:val="20"/>
                <w:color w:val="auto"/>
              </w:rPr>
            </w:pPr>
          </w:p>
        </w:tc>
        <w:tc>
          <w:tcPr>
            <w:tcW w:w="124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Stated interest expense includes unused fees.</w:t>
      </w:r>
    </w:p>
    <w:p>
      <w:pPr>
        <w:spacing w:after="0" w:line="113"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BNP Facility: </w:t>
      </w:r>
      <w:r>
        <w:rPr>
          <w:rFonts w:ascii="Times New Roman" w:cs="Times New Roman" w:eastAsia="Times New Roman" w:hAnsi="Times New Roman"/>
          <w:sz w:val="18"/>
          <w:szCs w:val="18"/>
          <w:color w:val="auto"/>
        </w:rPr>
        <w:t>OFSCC-FS was party to the BNP Facility, which provided for borrowings in an aggregate principal amount up to $80,000 during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reinvestment period. Borrowings under the BNP Facility bore interest at a variable rate of SOFR plus a variable margin (2.65% floor), which was determined on the basis of industry-recognized portfolio company metrics at the time of funding.</w:t>
      </w:r>
    </w:p>
    <w:p>
      <w:pPr>
        <w:spacing w:after="0" w:line="6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February 18, 2026, in connection with the closing of the Natixis Facility, OFSCC-FS repaid in full all outstanding obligations due, and terminated all commitments, under the BNP Facility. All liens securing the BNP Facility were released upon such repayment. In connection with the termination of the facility, the Company recognized a loss on extinguishment of debt of $89 related to the acceleration of deferred financing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BNP Facility had outstanding debt of $0 and $50,950, respectively.</w:t>
      </w:r>
    </w:p>
    <w:p>
      <w:pPr>
        <w:spacing w:after="0" w:line="63"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components of interest expense, cash paid for interest, average interest rates and average outstanding balances for the BNP Facility were as follows:</w:t>
      </w:r>
    </w:p>
    <w:tbl>
      <w:tblPr>
        <w:tblLayout w:type="fixed"/>
        <w:tblInd w:w="0" w:type="dxa"/>
        <w:tblCellMar>
          <w:top w:w="0" w:type="dxa"/>
          <w:left w:w="0" w:type="dxa"/>
          <w:bottom w:w="0" w:type="dxa"/>
          <w:right w:w="0" w:type="dxa"/>
        </w:tblCellMar>
      </w:tblPr>
      <w:tr>
        <w:trPr>
          <w:trHeight w:val="194"/>
        </w:trPr>
        <w:tc>
          <w:tcPr>
            <w:tcW w:w="42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880" w:type="dxa"/>
            <w:vAlign w:val="bottom"/>
            <w:gridSpan w:val="4"/>
          </w:tcPr>
          <w:p>
            <w:pPr>
              <w:jc w:val="right"/>
              <w:ind w:right="255"/>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8"/>
        </w:trPr>
        <w:tc>
          <w:tcPr>
            <w:tcW w:w="42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4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42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Stated interest expense</w:t>
            </w:r>
            <w:r>
              <w:rPr>
                <w:rFonts w:ascii="Times New Roman" w:cs="Times New Roman" w:eastAsia="Times New Roman" w:hAnsi="Times New Roman"/>
                <w:sz w:val="24"/>
                <w:szCs w:val="24"/>
                <w:color w:val="auto"/>
                <w:vertAlign w:val="superscript"/>
              </w:rPr>
              <w:t>(1)</w:t>
            </w:r>
          </w:p>
        </w:tc>
        <w:tc>
          <w:tcPr>
            <w:tcW w:w="438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8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r>
      <w:tr>
        <w:trPr>
          <w:trHeight w:val="210"/>
        </w:trPr>
        <w:tc>
          <w:tcPr>
            <w:tcW w:w="4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interest and debt financing costs</w:t>
            </w:r>
          </w:p>
        </w:tc>
        <w:tc>
          <w:tcPr>
            <w:tcW w:w="438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8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43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360" w:type="dxa"/>
            <w:vAlign w:val="bottom"/>
          </w:tcPr>
          <w:p>
            <w:pPr>
              <w:spacing w:after="0"/>
              <w:rPr>
                <w:sz w:val="18"/>
                <w:szCs w:val="18"/>
                <w:color w:val="auto"/>
              </w:rPr>
            </w:pP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8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3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7.12%</w:t>
            </w: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8.39%</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Average outstanding balance</w:t>
            </w:r>
          </w:p>
        </w:tc>
        <w:tc>
          <w:tcPr>
            <w:tcW w:w="43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360" w:type="dxa"/>
            <w:vAlign w:val="bottom"/>
          </w:tcPr>
          <w:p>
            <w:pPr>
              <w:spacing w:after="0"/>
              <w:rPr>
                <w:sz w:val="20"/>
                <w:szCs w:val="20"/>
                <w:color w:val="auto"/>
              </w:rPr>
            </w:pP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65,701</w:t>
            </w:r>
          </w:p>
        </w:tc>
        <w:tc>
          <w:tcPr>
            <w:tcW w:w="180" w:type="dxa"/>
            <w:vAlign w:val="bottom"/>
          </w:tcPr>
          <w:p>
            <w:pPr>
              <w:spacing w:after="0"/>
              <w:rPr>
                <w:sz w:val="20"/>
                <w:szCs w:val="20"/>
                <w:color w:val="auto"/>
              </w:rPr>
            </w:pPr>
          </w:p>
        </w:tc>
      </w:tr>
      <w:tr>
        <w:trPr>
          <w:trHeight w:val="630"/>
        </w:trPr>
        <w:tc>
          <w:tcPr>
            <w:tcW w:w="4220" w:type="dxa"/>
            <w:vAlign w:val="bottom"/>
          </w:tcPr>
          <w:p>
            <w:pPr>
              <w:spacing w:after="0"/>
              <w:rPr>
                <w:sz w:val="24"/>
                <w:szCs w:val="24"/>
                <w:color w:val="auto"/>
              </w:rPr>
            </w:pPr>
          </w:p>
        </w:tc>
        <w:tc>
          <w:tcPr>
            <w:tcW w:w="340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For the three months ended March 31, 2025, stated interest expense includes unused fees.</w:t>
      </w:r>
    </w:p>
    <w:p>
      <w:pPr>
        <w:spacing w:after="0" w:line="73"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Banc of California Credit Facility: </w:t>
      </w:r>
      <w:r>
        <w:rPr>
          <w:rFonts w:ascii="Times New Roman" w:cs="Times New Roman" w:eastAsia="Times New Roman" w:hAnsi="Times New Roman"/>
          <w:sz w:val="18"/>
          <w:szCs w:val="18"/>
          <w:color w:val="auto"/>
        </w:rPr>
        <w:t>On March 7, 2018, the Company entered into the Banc of California Credit Facility. The Banc of California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currently bears interest at a variable rate of the Prime Rate plus a 0.25% margin, with a 5.00% floor, and includes an annual commitment fee of 0.50% of the maximum commitment amount. The Banc of California Credit Facility is scheduled to mature on February 28, 2028.</w:t>
      </w:r>
    </w:p>
    <w:p>
      <w:pPr>
        <w:spacing w:after="0" w:line="6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January 9, 2026, the Company amended the Banc of California Credit Facility to extend the maturity date from February 28, 2026 to February 28, 2028.</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March 27, 2026, the Company amended the Banc of California Credit Facility to, among other things: (i) reduce the minimum tangible net asset value covenant from $100,000 to $75,000; (ii) reduce the covenant requiring minimum quarterly net investment income after management/incentive fees from $2,000 to $1,000 for each of the quarters ending March 31, 2026, June 30, 2026 and September 30, 2026, after which the minimum quarterly net investment income after management/incentive fees covenant shall return to $2,000; and (iii) decrease the Company’s maximum commitment amount from $25,000 to $15,000. In connection with the maximum commitment reduction from $25,000 to $15,000, the Company recognized a loss on extinguishment of debt of $41 related to the acceleration of deferred financing costs.</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outstanding debt under the Banc of California Credit Facility of $8,750 and $4,500, respectively. As of March 31, 2026, the unused commitment under the Banc of California Credit Facility was $6,250, subject to the terms of the borrowing base and other covenants. As of March 31, 2026, the stated interest rate on the Banc of California Credit Facility was 7.00%.</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maximum availability of the Banc of California Credit Facility is equal to 50% of the aggregate outstanding principal amount of eligible loans included in the borrowing base, which typically excludes Structured Finance Securities, foreign loans, and non-performing loans, and as otherwise specified in the BLA. The Banc of California Credit Facility is guaranteed by OFSCC-MB and secured by all of our and OFSCC-MB’s current and future assets, excluding assets held by OFSCC-FS, and the Company’s partnership interests in SBIC I LP. The Company has made customary representations and warranties and is required to comply with various covenants, reporting requirements and other customary requirements for similar credit facilities.</w:t>
      </w:r>
    </w:p>
    <w:p>
      <w:pPr>
        <w:spacing w:after="0" w:line="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components of interest expense, cash paid for interest, average interest rates and average outstanding balances for the Banc of California Credit Facility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29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80" w:type="dxa"/>
            <w:vAlign w:val="bottom"/>
          </w:tcPr>
          <w:p>
            <w:pPr>
              <w:spacing w:after="0"/>
              <w:rPr>
                <w:sz w:val="18"/>
                <w:szCs w:val="18"/>
                <w:color w:val="auto"/>
              </w:rPr>
            </w:pPr>
          </w:p>
        </w:tc>
      </w:tr>
      <w:tr>
        <w:trPr>
          <w:trHeight w:val="238"/>
        </w:trPr>
        <w:tc>
          <w:tcPr>
            <w:tcW w:w="76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r>
      <w:tr>
        <w:trPr>
          <w:trHeight w:val="209"/>
        </w:trPr>
        <w:tc>
          <w:tcPr>
            <w:tcW w:w="762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Stated interest expense</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interest and debt financing costs</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163</w:t>
            </w:r>
          </w:p>
        </w:tc>
        <w:tc>
          <w:tcPr>
            <w:tcW w:w="12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136</w:t>
            </w:r>
          </w:p>
        </w:tc>
        <w:tc>
          <w:tcPr>
            <w:tcW w:w="12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Average outstanding balance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7,642</w:t>
            </w:r>
          </w:p>
        </w:tc>
        <w:tc>
          <w:tcPr>
            <w:tcW w:w="12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2,989</w:t>
            </w:r>
          </w:p>
        </w:tc>
      </w:tr>
    </w:tbl>
    <w:p>
      <w:pPr>
        <w:spacing w:after="0" w:line="6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Unsecured Notes</w:t>
      </w:r>
      <w:r>
        <w:rPr>
          <w:rFonts w:ascii="Times New Roman" w:cs="Times New Roman" w:eastAsia="Times New Roman" w:hAnsi="Times New Roman"/>
          <w:sz w:val="18"/>
          <w:szCs w:val="18"/>
          <w:color w:val="auto"/>
        </w:rPr>
        <w:t>: As of March 31, 2026 and December 31, 2025, the Company had $149,000 and $165,000, respectively, in aggregate principal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Unsecured Notes.</w:t>
      </w:r>
    </w:p>
    <w:p>
      <w:pPr>
        <w:spacing w:after="0" w:line="4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Unsecured Notes Due October 2028 (Nasdaq: OFSSH)</w:t>
      </w:r>
      <w:r>
        <w:rPr>
          <w:rFonts w:ascii="Times New Roman" w:cs="Times New Roman" w:eastAsia="Times New Roman" w:hAnsi="Times New Roman"/>
          <w:sz w:val="18"/>
          <w:szCs w:val="18"/>
          <w:color w:val="auto"/>
        </w:rPr>
        <w:t>: On October 28, 2021 and November 1, 2021, the Company issued $55,000 in aggregate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unsecured notes. The Unsecured Notes Due October 2028 bear interest at a rate of 4.95% per year payable semi-annually and mature on October 31, 2028. The Company may redeem the Unsecured Notes Due October 2028 in whole or in part at any time.</w:t>
      </w:r>
    </w:p>
    <w:p>
      <w:pPr>
        <w:spacing w:after="0" w:line="6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Unsecured Notes Due July 2028 (Nasdaq: OFSSO)</w:t>
      </w:r>
      <w:r>
        <w:rPr>
          <w:rFonts w:ascii="Times New Roman" w:cs="Times New Roman" w:eastAsia="Times New Roman" w:hAnsi="Times New Roman"/>
          <w:sz w:val="18"/>
          <w:szCs w:val="18"/>
          <w:color w:val="auto"/>
        </w:rPr>
        <w:t>: On July 23, 2025, the Company closed the public offering of $69,000 aggregate principal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Unsecured Notes Due July 2028, which included $9,000 of aggregate principal amount related to the underwriters’ option to cover overallotments. The net proceeds to the Company from the Unsecured Notes Due July 2028, after deducting underwriting fees of $1,380 and offering expenses of $326, was $67,294. The Unsecured Notes Due July 2028 bear interest at a stated rate of 7.50% and will mature on July 31, 2028. The Company may redeem the Unsecured Notes Due July 2028 in whole or in part at any time, or from time to time, on or after July 31,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indenture governing the Unsecured Notes Due July 2028 and Unsecured Notes Due October 2028 contains certain covenants, including: (i) prohibiting additional borrowings, including through the issuance of additional debt securities, unless the Company's asset coverage, as defined in the 1940 Act, after giving effect to any exemptive relief granted to the Company by the SEC, equals at least 150% after such borrowings; and (ii) prohibiting (a) the declaration of any cash dividend or distribution upon any class of the Company’s capital stock (except to the extent necessary for the Company to maintain its treatment as a RIC under Subchapter M of the Code), or (b) the purchase of any capital stock unless the Company’s asset coverage, as defined in the 1940 Act, is at least 150% at the time of such capital transaction and after deducting the amount of such transaction.</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Unsecured Note Due August 2029</w:t>
      </w:r>
      <w:r>
        <w:rPr>
          <w:rFonts w:ascii="Times New Roman" w:cs="Times New Roman" w:eastAsia="Times New Roman" w:hAnsi="Times New Roman"/>
          <w:sz w:val="18"/>
          <w:szCs w:val="18"/>
          <w:color w:val="auto"/>
        </w:rPr>
        <w:t>: On August 8, 2025, the Company entered into the Securities Purchase Agreement, pursuant to which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sold in a private placement a $25,000 principal amount Unsecured Note Due August 2029. The net proceeds to the Company from the Unsecured Note Due August 2029, after deducting discounts of $750 and offering expenses of $48, was $24,202. The Unsecured Note Due August 2029 bears interest at a stated rate of 8.00% and will mature on August 8, 2029. The Company may redeem the Unsecured Note Due August 2029 in whole or in part at any time. The Securities Purchase Agreement contains customary terms and conditions for unsecured notes issued in a private placement, including, without limitation, affirmative and negative covenants such as information reporting, maintenance of the Company’s status as a BDC within the meaning of the 1940 Act and minimum asset coverage ratio.</w:t>
      </w:r>
    </w:p>
    <w:p>
      <w:pPr>
        <w:spacing w:after="0" w:line="75" w:lineRule="exact"/>
        <w:rPr>
          <w:sz w:val="20"/>
          <w:szCs w:val="20"/>
          <w:color w:val="auto"/>
        </w:rPr>
      </w:pPr>
    </w:p>
    <w:p>
      <w:pPr>
        <w:ind w:right="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Unsecured Notes Due February 2026</w:t>
      </w:r>
      <w:r>
        <w:rPr>
          <w:rFonts w:ascii="Times New Roman" w:cs="Times New Roman" w:eastAsia="Times New Roman" w:hAnsi="Times New Roman"/>
          <w:sz w:val="17"/>
          <w:szCs w:val="17"/>
          <w:color w:val="auto"/>
        </w:rPr>
        <w:t>: On February 10, 2021 and March 18, 2021, the Company issued $125,000 in aggregate principal of unsecured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notes. The Unsecured Notes Due February 2026 bore interest at a rate of 4.75% per year and were scheduled to mature on February 10, 2026.</w:t>
      </w:r>
    </w:p>
    <w:p>
      <w:pPr>
        <w:spacing w:after="0" w:line="2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January 8, 2026, the Company issued notices to the holders of the Unsecured Notes Due February 2026 regarding the exercise of its option to redeem on February 9, 2026 $16,000, which was equal to the remainder of the outstanding Unsecured Notes Due February 2026, plus accrued interest of $378.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no outstanding Unsecured Notes Due February 2026.</w:t>
      </w:r>
    </w:p>
    <w:p>
      <w:pPr>
        <w:spacing w:after="0" w:line="11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Unsecured Notes are direct unsecured obligations and rank equal in right of payment with all current and future unsecured indebtedness of the Company. Because the Unsecured Notes are not secured by any of the Company’s assets, they are effectively subordinated to all existing and future secured unsubordinated indebtedness (or any indebtedness that is initially unsecured as to which the Company subsequently grants a security interest), to the extent of the value of the assets securing such indebtedness, including, without limitation, borrowings under the Banc of California Credit Facility.</w:t>
      </w:r>
    </w:p>
    <w:p>
      <w:pPr>
        <w:spacing w:after="0" w:line="7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components of interest expense, cash paid for interest, average interest rates and average outstanding balances for the Unsecured Notes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28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80" w:type="dxa"/>
            <w:vAlign w:val="bottom"/>
          </w:tcPr>
          <w:p>
            <w:pPr>
              <w:spacing w:after="0"/>
              <w:rPr>
                <w:sz w:val="18"/>
                <w:szCs w:val="18"/>
                <w:color w:val="auto"/>
              </w:rPr>
            </w:pPr>
          </w:p>
        </w:tc>
      </w:tr>
      <w:tr>
        <w:trPr>
          <w:trHeight w:val="238"/>
        </w:trPr>
        <w:tc>
          <w:tcPr>
            <w:tcW w:w="76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r>
      <w:tr>
        <w:trPr>
          <w:trHeight w:val="209"/>
        </w:trPr>
        <w:tc>
          <w:tcPr>
            <w:tcW w:w="76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Stated interest expense</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2,555</w:t>
            </w:r>
          </w:p>
        </w:tc>
        <w:tc>
          <w:tcPr>
            <w:tcW w:w="11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2,165</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245</w:t>
            </w:r>
          </w:p>
        </w:tc>
      </w:tr>
      <w:tr>
        <w:trPr>
          <w:trHeight w:val="209"/>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interest and debt financing costs</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2,813</w:t>
            </w:r>
          </w:p>
        </w:tc>
        <w:tc>
          <w:tcPr>
            <w:tcW w:w="11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2,410</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2,852</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3,648</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9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Average outstanding balance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155,933</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180,000</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scheduled maturities of the principal balances of the Company’s outstanding borrowings as of March 31,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187"/>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After 5</w:t>
            </w:r>
          </w:p>
        </w:tc>
      </w:tr>
      <w:tr>
        <w:trPr>
          <w:trHeight w:val="238"/>
        </w:trPr>
        <w:tc>
          <w:tcPr>
            <w:tcW w:w="5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 to 3 years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 to 5 years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Banc of California Credit Facility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8,750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8,750</w:t>
            </w:r>
          </w:p>
        </w:tc>
        <w:tc>
          <w:tcPr>
            <w:tcW w:w="4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Natixis Facility</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Notes</w:t>
            </w: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149,000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124,000</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132,750</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63"/>
        </w:trPr>
        <w:tc>
          <w:tcPr>
            <w:tcW w:w="5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-1079500</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-1079500</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-1079500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-1079500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average dollar borrowings and weighted average effective interest rate on the Company’s outstanding borrowings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284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80" w:type="dxa"/>
            <w:vAlign w:val="bottom"/>
          </w:tcPr>
          <w:p>
            <w:pPr>
              <w:spacing w:after="0"/>
              <w:rPr>
                <w:sz w:val="18"/>
                <w:szCs w:val="18"/>
                <w:color w:val="auto"/>
              </w:rPr>
            </w:pPr>
          </w:p>
        </w:tc>
      </w:tr>
      <w:tr>
        <w:trPr>
          <w:trHeight w:val="238"/>
        </w:trPr>
        <w:tc>
          <w:tcPr>
            <w:tcW w:w="76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r>
      <w:tr>
        <w:trPr>
          <w:trHeight w:val="210"/>
        </w:trPr>
        <w:tc>
          <w:tcPr>
            <w:tcW w:w="76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dollar borrowings</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5"/>
              </w:rPr>
              <w:t>214,953</w:t>
            </w:r>
          </w:p>
        </w:tc>
        <w:tc>
          <w:tcPr>
            <w:tcW w:w="11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248,690</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effective interest rate</w:t>
            </w:r>
          </w:p>
        </w:tc>
        <w:tc>
          <w:tcPr>
            <w:tcW w:w="9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Financial Highlights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schedule of financial highlights for the three months ended March 31, 2026 and 2025: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300" w:type="dxa"/>
            <w:vAlign w:val="bottom"/>
          </w:tcPr>
          <w:p>
            <w:pPr>
              <w:spacing w:after="0"/>
              <w:rPr>
                <w:sz w:val="17"/>
                <w:szCs w:val="17"/>
                <w:color w:val="auto"/>
              </w:rPr>
            </w:pPr>
          </w:p>
        </w:tc>
      </w:tr>
      <w:tr>
        <w:trPr>
          <w:trHeight w:val="215"/>
        </w:trPr>
        <w:tc>
          <w:tcPr>
            <w:tcW w:w="6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00" w:type="dxa"/>
            <w:vAlign w:val="bottom"/>
            <w:tcBorders>
              <w:bottom w:val="single" w:sz="8" w:color="auto"/>
            </w:tcBorders>
          </w:tcPr>
          <w:p>
            <w:pPr>
              <w:spacing w:after="0"/>
              <w:rPr>
                <w:sz w:val="18"/>
                <w:szCs w:val="18"/>
                <w:color w:val="auto"/>
              </w:rPr>
            </w:pPr>
          </w:p>
        </w:tc>
      </w:tr>
      <w:tr>
        <w:trPr>
          <w:trHeight w:val="199"/>
        </w:trPr>
        <w:tc>
          <w:tcPr>
            <w:tcW w:w="6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Per share operating performance:</w:t>
            </w: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per share at beginning of period</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9.19</w:t>
            </w:r>
          </w:p>
        </w:tc>
        <w:tc>
          <w:tcPr>
            <w:tcW w:w="7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12.85</w:t>
            </w:r>
          </w:p>
        </w:tc>
      </w:tr>
      <w:tr>
        <w:trPr>
          <w:trHeight w:val="203"/>
        </w:trPr>
        <w:tc>
          <w:tcPr>
            <w:tcW w:w="65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Net investment income</w:t>
            </w:r>
            <w:r>
              <w:rPr>
                <w:rFonts w:ascii="Times New Roman" w:cs="Times New Roman" w:eastAsia="Times New Roman" w:hAnsi="Times New Roman"/>
                <w:sz w:val="21"/>
                <w:szCs w:val="21"/>
                <w:color w:val="auto"/>
                <w:vertAlign w:val="superscript"/>
              </w:rPr>
              <w:t>(1)</w:t>
            </w: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0.18</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0.26</w:t>
            </w:r>
          </w:p>
        </w:tc>
      </w:tr>
      <w:tr>
        <w:trPr>
          <w:trHeight w:val="203"/>
        </w:trPr>
        <w:tc>
          <w:tcPr>
            <w:tcW w:w="65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Net realized loss on investments, net of taxes</w:t>
            </w:r>
            <w:r>
              <w:rPr>
                <w:rFonts w:ascii="Times New Roman" w:cs="Times New Roman" w:eastAsia="Times New Roman" w:hAnsi="Times New Roman"/>
                <w:sz w:val="21"/>
                <w:szCs w:val="21"/>
                <w:color w:val="auto"/>
                <w:vertAlign w:val="superscript"/>
              </w:rPr>
              <w:t>(1)</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(0.84)</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(0.19)</w:t>
            </w:r>
          </w:p>
        </w:tc>
      </w:tr>
      <w:tr>
        <w:trPr>
          <w:trHeight w:val="203"/>
        </w:trPr>
        <w:tc>
          <w:tcPr>
            <w:tcW w:w="65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Net unrealized depreciation on investments, net of deferred taxes</w:t>
            </w:r>
            <w:r>
              <w:rPr>
                <w:rFonts w:ascii="Times New Roman" w:cs="Times New Roman" w:eastAsia="Times New Roman" w:hAnsi="Times New Roman"/>
                <w:sz w:val="21"/>
                <w:szCs w:val="21"/>
                <w:color w:val="auto"/>
                <w:vertAlign w:val="superscript"/>
              </w:rPr>
              <w:t>(1)</w:t>
            </w: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(0.19)</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(0.61)</w:t>
            </w:r>
          </w:p>
        </w:tc>
      </w:tr>
      <w:tr>
        <w:trPr>
          <w:trHeight w:val="203"/>
        </w:trPr>
        <w:tc>
          <w:tcPr>
            <w:tcW w:w="65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Loss on extinguishment of debt</w:t>
            </w:r>
            <w:r>
              <w:rPr>
                <w:rFonts w:ascii="Times New Roman" w:cs="Times New Roman" w:eastAsia="Times New Roman" w:hAnsi="Times New Roman"/>
                <w:sz w:val="21"/>
                <w:szCs w:val="21"/>
                <w:color w:val="auto"/>
                <w:vertAlign w:val="superscript"/>
              </w:rPr>
              <w:t>(1)</w:t>
            </w:r>
          </w:p>
        </w:tc>
        <w:tc>
          <w:tcPr>
            <w:tcW w:w="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(0.01)</w:t>
            </w:r>
          </w:p>
        </w:tc>
        <w:tc>
          <w:tcPr>
            <w:tcW w:w="1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net loss from operations</w:t>
            </w: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(0.86)</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(0.54)</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declared</w:t>
            </w:r>
          </w:p>
        </w:tc>
        <w:tc>
          <w:tcPr>
            <w:tcW w:w="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(0.17)</w:t>
            </w:r>
          </w:p>
        </w:tc>
        <w:tc>
          <w:tcPr>
            <w:tcW w:w="1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(0.34)</w:t>
            </w:r>
          </w:p>
        </w:tc>
      </w:tr>
      <w:tr>
        <w:trPr>
          <w:trHeight w:val="23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asset value per share at end of period</w:t>
            </w: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8.16</w:t>
            </w:r>
          </w:p>
        </w:tc>
        <w:tc>
          <w:tcPr>
            <w:tcW w:w="7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11.97</w:t>
            </w:r>
          </w:p>
        </w:tc>
      </w:tr>
      <w:tr>
        <w:trPr>
          <w:trHeight w:val="183"/>
        </w:trPr>
        <w:tc>
          <w:tcPr>
            <w:tcW w:w="656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 share market value, end of period</w:t>
            </w: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3.55</w:t>
            </w:r>
          </w:p>
        </w:tc>
        <w:tc>
          <w:tcPr>
            <w:tcW w:w="7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9.29</w:t>
            </w:r>
          </w:p>
        </w:tc>
      </w:tr>
      <w:tr>
        <w:trPr>
          <w:trHeight w:val="203"/>
        </w:trPr>
        <w:tc>
          <w:tcPr>
            <w:tcW w:w="65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Total return based on market value</w:t>
            </w:r>
            <w:r>
              <w:rPr>
                <w:rFonts w:ascii="Times New Roman" w:cs="Times New Roman" w:eastAsia="Times New Roman" w:hAnsi="Times New Roman"/>
                <w:sz w:val="21"/>
                <w:szCs w:val="21"/>
                <w:color w:val="auto"/>
                <w:vertAlign w:val="superscript"/>
              </w:rPr>
              <w:t>(2)(3)</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03"/>
        </w:trPr>
        <w:tc>
          <w:tcPr>
            <w:tcW w:w="65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Total return based on net asset value</w:t>
            </w:r>
            <w:r>
              <w:rPr>
                <w:rFonts w:ascii="Times New Roman" w:cs="Times New Roman" w:eastAsia="Times New Roman" w:hAnsi="Times New Roman"/>
                <w:sz w:val="21"/>
                <w:szCs w:val="21"/>
                <w:color w:val="auto"/>
                <w:vertAlign w:val="superscript"/>
              </w:rPr>
              <w:t>(3)(4)</w:t>
            </w: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Shares outstanding at end of period</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13,398,078</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13,398,078</w:t>
            </w: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13,398,078</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13,398,078</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Ratio/Supplemental Data (dollar amounts in thousands)</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Average net asset value</w:t>
            </w:r>
            <w:r>
              <w:rPr>
                <w:rFonts w:ascii="Times New Roman" w:cs="Times New Roman" w:eastAsia="Times New Roman" w:hAnsi="Times New Roman"/>
                <w:sz w:val="21"/>
                <w:szCs w:val="21"/>
                <w:color w:val="auto"/>
                <w:vertAlign w:val="superscript"/>
              </w:rPr>
              <w:t>(5)</w:t>
            </w: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116,255</w:t>
            </w:r>
          </w:p>
        </w:tc>
        <w:tc>
          <w:tcPr>
            <w:tcW w:w="7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166,304</w:t>
            </w:r>
          </w:p>
        </w:tc>
      </w:tr>
      <w:tr>
        <w:trPr>
          <w:trHeight w:val="202"/>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109,322</w:t>
            </w:r>
          </w:p>
        </w:tc>
        <w:tc>
          <w:tcPr>
            <w:tcW w:w="7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160,383</w:t>
            </w: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investment income</w:t>
            </w: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2,464</w:t>
            </w:r>
          </w:p>
        </w:tc>
        <w:tc>
          <w:tcPr>
            <w:tcW w:w="7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3,465</w:t>
            </w:r>
          </w:p>
        </w:tc>
      </w:tr>
      <w:tr>
        <w:trPr>
          <w:trHeight w:val="203"/>
        </w:trPr>
        <w:tc>
          <w:tcPr>
            <w:tcW w:w="65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Ratio of total expenses, net to average net assets</w:t>
            </w:r>
            <w:r>
              <w:rPr>
                <w:rFonts w:ascii="Times New Roman" w:cs="Times New Roman" w:eastAsia="Times New Roman" w:hAnsi="Times New Roman"/>
                <w:sz w:val="21"/>
                <w:szCs w:val="21"/>
                <w:color w:val="auto"/>
                <w:vertAlign w:val="superscript"/>
              </w:rPr>
              <w:t>(6)(9)</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3"/>
        </w:trPr>
        <w:tc>
          <w:tcPr>
            <w:tcW w:w="65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Ratio of total expenses, net and loss on extinguishment of debt to average net assets</w:t>
            </w:r>
            <w:r>
              <w:rPr>
                <w:rFonts w:ascii="Times New Roman" w:cs="Times New Roman" w:eastAsia="Times New Roman" w:hAnsi="Times New Roman"/>
                <w:sz w:val="21"/>
                <w:szCs w:val="21"/>
                <w:color w:val="auto"/>
                <w:vertAlign w:val="superscript"/>
              </w:rPr>
              <w:t>(6)(8)(10)</w:t>
            </w: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3"/>
        </w:trPr>
        <w:tc>
          <w:tcPr>
            <w:tcW w:w="65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Ratio of net investment income to average net assets</w:t>
            </w:r>
            <w:r>
              <w:rPr>
                <w:rFonts w:ascii="Times New Roman" w:cs="Times New Roman" w:eastAsia="Times New Roman" w:hAnsi="Times New Roman"/>
                <w:sz w:val="21"/>
                <w:szCs w:val="21"/>
                <w:color w:val="auto"/>
                <w:vertAlign w:val="superscript"/>
              </w:rPr>
              <w:t>(6)(11)</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03"/>
        </w:trPr>
        <w:tc>
          <w:tcPr>
            <w:tcW w:w="65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Ratio of loss on extinguishment of debt to average net assets</w:t>
            </w:r>
            <w:r>
              <w:rPr>
                <w:rFonts w:ascii="Times New Roman" w:cs="Times New Roman" w:eastAsia="Times New Roman" w:hAnsi="Times New Roman"/>
                <w:sz w:val="21"/>
                <w:szCs w:val="21"/>
                <w:color w:val="auto"/>
                <w:vertAlign w:val="superscript"/>
              </w:rPr>
              <w:t>(3)</w:t>
            </w: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86"/>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Portfolio turnover</w:t>
            </w:r>
            <w:r>
              <w:rPr>
                <w:rFonts w:ascii="Times New Roman" w:cs="Times New Roman" w:eastAsia="Times New Roman" w:hAnsi="Times New Roman"/>
                <w:sz w:val="21"/>
                <w:szCs w:val="21"/>
                <w:color w:val="auto"/>
                <w:vertAlign w:val="superscript"/>
              </w:rPr>
              <w:t>(7)</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-2006600</wp:posOffset>
            </wp:positionV>
            <wp:extent cx="1111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-1989455</wp:posOffset>
            </wp:positionV>
            <wp:extent cx="1111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on the average share method.</w:t>
      </w:r>
    </w:p>
    <w:p>
      <w:pPr>
        <w:spacing w:after="0" w:line="27" w:lineRule="exact"/>
        <w:rPr>
          <w:rFonts w:ascii="Times New Roman" w:cs="Times New Roman" w:eastAsia="Times New Roman" w:hAnsi="Times New Roman"/>
          <w:sz w:val="18"/>
          <w:szCs w:val="18"/>
          <w:color w:val="auto"/>
        </w:rPr>
      </w:pPr>
    </w:p>
    <w:p>
      <w:pPr>
        <w:ind w:left="380" w:right="200" w:hanging="372"/>
        <w:spacing w:after="0" w:line="250"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ending market value less beginning market value, adjusted for distributions reinvested at prices based on the Company’s DRIP for the respective distributions.</w:t>
      </w: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annualized.</w:t>
      </w:r>
    </w:p>
    <w:p>
      <w:pPr>
        <w:spacing w:after="0" w:line="9" w:lineRule="exact"/>
        <w:rPr>
          <w:rFonts w:ascii="Times New Roman" w:cs="Times New Roman" w:eastAsia="Times New Roman" w:hAnsi="Times New Roman"/>
          <w:sz w:val="18"/>
          <w:szCs w:val="18"/>
          <w:color w:val="auto"/>
        </w:rPr>
      </w:pPr>
    </w:p>
    <w:p>
      <w:pPr>
        <w:ind w:left="380" w:right="240" w:hanging="372"/>
        <w:spacing w:after="0" w:line="250"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ending net asset value less beginning net asset value, adjusted for distributions reinvested at prices based on the Company’s DRIP for the respective distributions.</w:t>
      </w: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average of the net asset value at the beginning and end of the indicated period and, if applicable, the preceding calendar quarters.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9" w:lineRule="exact"/>
        <w:rPr>
          <w:rFonts w:ascii="Times New Roman" w:cs="Times New Roman" w:eastAsia="Times New Roman" w:hAnsi="Times New Roman"/>
          <w:sz w:val="18"/>
          <w:szCs w:val="18"/>
          <w:color w:val="auto"/>
        </w:rPr>
      </w:pPr>
    </w:p>
    <w:p>
      <w:pPr>
        <w:ind w:left="380" w:right="20" w:hanging="372"/>
        <w:spacing w:after="0" w:line="250"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turnover rate is calculated using the lesser of period-to-date sales, portfolio investment distributions and principal payments or period-to-date purchases over the average of total investments at fair value.</w:t>
      </w: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total expenses (annualized) plus the loss on extinguishment of debt, divided by average net assets.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total expenses before the base management fee waiver to average net assets was 22.9% for the three months ended March 31, 2026.</w:t>
      </w:r>
    </w:p>
    <w:p>
      <w:pPr>
        <w:spacing w:after="0" w:line="9" w:lineRule="exact"/>
        <w:rPr>
          <w:rFonts w:ascii="Times New Roman" w:cs="Times New Roman" w:eastAsia="Times New Roman" w:hAnsi="Times New Roman"/>
          <w:sz w:val="18"/>
          <w:szCs w:val="18"/>
          <w:color w:val="auto"/>
        </w:rPr>
      </w:pPr>
    </w:p>
    <w:p>
      <w:pPr>
        <w:ind w:left="380" w:right="180" w:hanging="372"/>
        <w:spacing w:after="0" w:line="250"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total expenses before the base management fee waiver plus the loss on extinguishment of debt to average net assets was 23.0% for the three months ended March 31, 2026.</w:t>
      </w: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net investment income before the base management fee waiver to average net assets was 7.7% for the three months ended March 31,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 Transactions</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Distributions: </w:t>
      </w:r>
      <w:r>
        <w:rPr>
          <w:rFonts w:ascii="Times New Roman" w:cs="Times New Roman" w:eastAsia="Times New Roman" w:hAnsi="Times New Roman"/>
          <w:sz w:val="18"/>
          <w:szCs w:val="18"/>
          <w:color w:val="auto"/>
        </w:rPr>
        <w:t>The Company intends to make quarterly distributions to stockholders, that represent over time, substantially all of its net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In addition, although the Company may distribute at least annually net realized capital gains, net of taxes if any, out of assets legally available for such distribution, the Company may also retain such capital gains for investment through a deemed distribution. If the Company makes a deemed distribution, stockholders will be treated for U.S. federal income tax purposes as if they had received an actual distribution of the capital gains, net of taxes.</w:t>
      </w:r>
    </w:p>
    <w:p>
      <w:pPr>
        <w:spacing w:after="0" w:line="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may be limited in its ability to make distributions due to the BDC asset coverage requirements of the 1940 Act. In addition, distributions from OFSCC-FS to the Company are restricted by the terms and conditions of the Natixis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distributions declared and paid for the three months ended March 31, 2026 and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40" w:type="dxa"/>
            <w:vAlign w:val="bottom"/>
          </w:tcPr>
          <w:p>
            <w:pPr>
              <w:spacing w:after="0"/>
              <w:rPr>
                <w:sz w:val="13"/>
                <w:szCs w:val="13"/>
                <w:color w:val="auto"/>
              </w:rPr>
            </w:pPr>
          </w:p>
        </w:tc>
        <w:tc>
          <w:tcPr>
            <w:tcW w:w="17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3"/>
                <w:szCs w:val="13"/>
                <w:color w:val="auto"/>
              </w:rPr>
            </w:pPr>
          </w:p>
        </w:tc>
        <w:tc>
          <w:tcPr>
            <w:tcW w:w="17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140" w:type="dxa"/>
            <w:vAlign w:val="bottom"/>
          </w:tcPr>
          <w:p>
            <w:pPr>
              <w:spacing w:after="0"/>
              <w:rPr>
                <w:sz w:val="18"/>
                <w:szCs w:val="18"/>
                <w:color w:val="auto"/>
              </w:rPr>
            </w:pPr>
          </w:p>
        </w:tc>
        <w:tc>
          <w:tcPr>
            <w:tcW w:w="17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March 20, 2026</w:t>
            </w:r>
          </w:p>
        </w:tc>
        <w:tc>
          <w:tcPr>
            <w:tcW w:w="160" w:type="dxa"/>
            <w:vAlign w:val="bottom"/>
          </w:tcPr>
          <w:p>
            <w:pPr>
              <w:spacing w:after="0"/>
              <w:rPr>
                <w:sz w:val="18"/>
                <w:szCs w:val="18"/>
                <w:color w:val="auto"/>
              </w:rPr>
            </w:pPr>
          </w:p>
        </w:tc>
        <w:tc>
          <w:tcPr>
            <w:tcW w:w="17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March 31, 2026</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2,278</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50"/>
        </w:trPr>
        <w:tc>
          <w:tcPr>
            <w:tcW w:w="430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7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74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2,278</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2025</w:t>
            </w:r>
          </w:p>
        </w:tc>
        <w:tc>
          <w:tcPr>
            <w:tcW w:w="140" w:type="dxa"/>
            <w:vAlign w:val="bottom"/>
          </w:tcPr>
          <w:p>
            <w:pPr>
              <w:spacing w:after="0"/>
              <w:rPr>
                <w:sz w:val="18"/>
                <w:szCs w:val="18"/>
                <w:color w:val="auto"/>
              </w:rPr>
            </w:pPr>
          </w:p>
        </w:tc>
        <w:tc>
          <w:tcPr>
            <w:tcW w:w="17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March 21, 2025</w:t>
            </w:r>
          </w:p>
        </w:tc>
        <w:tc>
          <w:tcPr>
            <w:tcW w:w="160" w:type="dxa"/>
            <w:vAlign w:val="bottom"/>
          </w:tcPr>
          <w:p>
            <w:pPr>
              <w:spacing w:after="0"/>
              <w:rPr>
                <w:sz w:val="18"/>
                <w:szCs w:val="18"/>
                <w:color w:val="auto"/>
              </w:rPr>
            </w:pPr>
          </w:p>
        </w:tc>
        <w:tc>
          <w:tcPr>
            <w:tcW w:w="17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March 31, 2025</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4,555</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49"/>
        </w:trPr>
        <w:tc>
          <w:tcPr>
            <w:tcW w:w="430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7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74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4,555</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-607695</wp:posOffset>
            </wp:positionV>
            <wp:extent cx="857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-591185</wp:posOffset>
            </wp:positionV>
            <wp:extent cx="857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-753745</wp:posOffset>
            </wp:positionV>
            <wp:extent cx="857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-607695</wp:posOffset>
            </wp:positionV>
            <wp:extent cx="1200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-591185</wp:posOffset>
            </wp:positionV>
            <wp:extent cx="1200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-753745</wp:posOffset>
            </wp:positionV>
            <wp:extent cx="12001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857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857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857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ind w:left="380" w:right="180" w:hanging="372"/>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and 2025, the Company directed the DRIP plan administrator to purchase shares on the open market in order to satisfy the obligation to deliver shares of common stock. Accordingly, the Company purchased shares to satisfy the DRIP obligation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5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42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40" w:type="dxa"/>
            <w:vAlign w:val="bottom"/>
          </w:tcPr>
          <w:p>
            <w:pPr>
              <w:spacing w:after="0"/>
              <w:rPr>
                <w:sz w:val="13"/>
                <w:szCs w:val="13"/>
                <w:color w:val="auto"/>
              </w:rPr>
            </w:pPr>
          </w:p>
        </w:tc>
        <w:tc>
          <w:tcPr>
            <w:tcW w:w="14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Total Amount Paid</w:t>
            </w: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15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2026 through March 31, 2026</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5,271</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3.39</w:t>
            </w:r>
          </w:p>
        </w:tc>
        <w:tc>
          <w:tcPr>
            <w:tcW w:w="74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2025 through March 31, 2025</w:t>
            </w:r>
          </w:p>
        </w:tc>
        <w:tc>
          <w:tcPr>
            <w:tcW w:w="1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8,570</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9.35</w:t>
            </w:r>
          </w:p>
        </w:tc>
        <w:tc>
          <w:tcPr>
            <w:tcW w:w="74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Distributions in excess of the Company’s current and accumulated ICTI would be treated first as a return of capital to the extent of the stockholder’s adjusted tax basis, and any remaining distributions would be treated as a capital gain. The determination of the tax attributes of the Company’s distributions is made annually as of the end of its fiscal year based upon its estimated ICTI for the full year and distributions paid for the full year. Each year, a statement on Form 1099-DIV identifying the tax character of distributions is mailed to the Company’s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a Stock Repurchase Program under which the Company may acquire up to $10,000 of its outstanding common stock. On April 28, 2026, the Board extended the Stock Repurchase Program for an additional two-year period ending May 22, 2028, or until the approved dollar amount has been used to repurchase shares. The Stock Repurchase Program may be extended, modified or discontinued at any time for any reason.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no shares of common stock were repurchased under the Stock Repurchase Program.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OFS Capital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Consolidated Schedule of Investments In and Advances To Affiliates</w:t>
      </w:r>
    </w:p>
    <w:p>
      <w:pPr>
        <w:spacing w:after="0" w:line="13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166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center"/>
              <w:ind w:right="106"/>
              <w:spacing w:after="0" w:line="100"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1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center"/>
              <w:ind w:right="146"/>
              <w:spacing w:after="0" w:line="100" w:lineRule="exact"/>
              <w:rPr>
                <w:sz w:val="20"/>
                <w:szCs w:val="20"/>
                <w:color w:val="auto"/>
              </w:rPr>
            </w:pPr>
            <w:r>
              <w:rPr>
                <w:rFonts w:ascii="Times New Roman" w:cs="Times New Roman" w:eastAsia="Times New Roman" w:hAnsi="Times New Roman"/>
                <w:sz w:val="11"/>
                <w:szCs w:val="11"/>
                <w:b w:val="1"/>
                <w:bCs w:val="1"/>
                <w:color w:val="auto"/>
                <w:w w:val="98"/>
              </w:rPr>
              <w:t>Net Change in</w:t>
            </w: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r>
      <w:tr>
        <w:trPr>
          <w:trHeight w:val="121"/>
        </w:trPr>
        <w:tc>
          <w:tcPr>
            <w:tcW w:w="1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500" w:type="dxa"/>
            <w:vAlign w:val="bottom"/>
            <w:gridSpan w:val="2"/>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Realized</w:t>
            </w:r>
          </w:p>
        </w:tc>
        <w:tc>
          <w:tcPr>
            <w:tcW w:w="160" w:type="dxa"/>
            <w:vAlign w:val="bottom"/>
          </w:tcPr>
          <w:p>
            <w:pPr>
              <w:spacing w:after="0"/>
              <w:rPr>
                <w:sz w:val="10"/>
                <w:szCs w:val="10"/>
                <w:color w:val="auto"/>
              </w:rPr>
            </w:pPr>
          </w:p>
        </w:tc>
        <w:tc>
          <w:tcPr>
            <w:tcW w:w="900" w:type="dxa"/>
            <w:vAlign w:val="bottom"/>
          </w:tcPr>
          <w:p>
            <w:pPr>
              <w:jc w:val="center"/>
              <w:ind w:right="1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1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4"/>
              </w:rPr>
              <w:t>Gain</w:t>
            </w:r>
          </w:p>
        </w:tc>
        <w:tc>
          <w:tcPr>
            <w:tcW w:w="160" w:type="dxa"/>
            <w:vAlign w:val="bottom"/>
          </w:tcPr>
          <w:p>
            <w:pPr>
              <w:spacing w:after="0"/>
              <w:rPr>
                <w:sz w:val="10"/>
                <w:szCs w:val="10"/>
                <w:color w:val="auto"/>
              </w:rPr>
            </w:pPr>
          </w:p>
        </w:tc>
        <w:tc>
          <w:tcPr>
            <w:tcW w:w="90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Appreciation/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24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0"/>
                <w:szCs w:val="10"/>
                <w:color w:val="auto"/>
              </w:rPr>
            </w:pPr>
          </w:p>
        </w:tc>
        <w:tc>
          <w:tcPr>
            <w:tcW w:w="680" w:type="dxa"/>
            <w:vAlign w:val="bottom"/>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2025 , Fair</w:t>
            </w:r>
          </w:p>
        </w:tc>
        <w:tc>
          <w:tcPr>
            <w:tcW w:w="160" w:type="dxa"/>
            <w:vAlign w:val="bottom"/>
          </w:tcPr>
          <w:p>
            <w:pPr>
              <w:spacing w:after="0"/>
              <w:rPr>
                <w:sz w:val="10"/>
                <w:szCs w:val="10"/>
                <w:color w:val="auto"/>
              </w:rPr>
            </w:pPr>
          </w:p>
        </w:tc>
        <w:tc>
          <w:tcPr>
            <w:tcW w:w="820" w:type="dxa"/>
            <w:vAlign w:val="bottom"/>
          </w:tcPr>
          <w:p>
            <w:pPr>
              <w:jc w:val="right"/>
              <w:ind w:right="306"/>
              <w:spacing w:after="0" w:line="122" w:lineRule="exact"/>
              <w:rPr>
                <w:sz w:val="20"/>
                <w:szCs w:val="20"/>
                <w:color w:val="auto"/>
              </w:rPr>
            </w:pPr>
            <w:r>
              <w:rPr>
                <w:rFonts w:ascii="Times New Roman" w:cs="Times New Roman" w:eastAsia="Times New Roman" w:hAnsi="Times New Roman"/>
                <w:sz w:val="11"/>
                <w:szCs w:val="11"/>
                <w:b w:val="1"/>
                <w:bCs w:val="1"/>
                <w:color w:val="auto"/>
              </w:rPr>
              <w:t>Gross</w:t>
            </w:r>
          </w:p>
        </w:tc>
        <w:tc>
          <w:tcPr>
            <w:tcW w:w="160" w:type="dxa"/>
            <w:vAlign w:val="bottom"/>
          </w:tcPr>
          <w:p>
            <w:pPr>
              <w:spacing w:after="0"/>
              <w:rPr>
                <w:sz w:val="10"/>
                <w:szCs w:val="10"/>
                <w:color w:val="auto"/>
              </w:rPr>
            </w:pPr>
          </w:p>
        </w:tc>
        <w:tc>
          <w:tcPr>
            <w:tcW w:w="920" w:type="dxa"/>
            <w:vAlign w:val="bottom"/>
          </w:tcPr>
          <w:p>
            <w:pPr>
              <w:jc w:val="right"/>
              <w:ind w:right="366"/>
              <w:spacing w:after="0" w:line="122" w:lineRule="exact"/>
              <w:rPr>
                <w:sz w:val="20"/>
                <w:szCs w:val="20"/>
                <w:color w:val="auto"/>
              </w:rPr>
            </w:pPr>
            <w:r>
              <w:rPr>
                <w:rFonts w:ascii="Times New Roman" w:cs="Times New Roman" w:eastAsia="Times New Roman" w:hAnsi="Times New Roman"/>
                <w:sz w:val="11"/>
                <w:szCs w:val="11"/>
                <w:b w:val="1"/>
                <w:bCs w:val="1"/>
                <w:color w:val="auto"/>
              </w:rPr>
              <w:t>Gross</w:t>
            </w:r>
          </w:p>
        </w:tc>
        <w:tc>
          <w:tcPr>
            <w:tcW w:w="1040" w:type="dxa"/>
            <w:vAlign w:val="bottom"/>
            <w:gridSpan w:val="2"/>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March 31, 2026 ,</w:t>
            </w:r>
          </w:p>
        </w:tc>
      </w:tr>
      <w:tr>
        <w:trPr>
          <w:trHeight w:val="137"/>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 of Portfolio Company</w:t>
            </w:r>
          </w:p>
        </w:tc>
        <w:tc>
          <w:tcPr>
            <w:tcW w:w="14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b w:val="1"/>
                <w:bCs w:val="1"/>
                <w:color w:val="auto"/>
              </w:rPr>
              <w:t>Investment Type (1)</w:t>
            </w: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(Depreciation)</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Dividends</w:t>
            </w: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Fees</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99"/>
              </w:rPr>
              <w:t>Income (2)</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7"/>
              </w:rPr>
              <w:t>Value (5)</w:t>
            </w: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Additions (3)</w:t>
            </w: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99"/>
              </w:rPr>
              <w:t>Reductions (4)</w:t>
            </w: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99"/>
              </w:rPr>
              <w:t>Fair Value (5)</w:t>
            </w:r>
          </w:p>
        </w:tc>
      </w:tr>
      <w:tr>
        <w:trPr>
          <w:trHeight w:val="115"/>
        </w:trPr>
        <w:tc>
          <w:tcPr>
            <w:tcW w:w="1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Affiliate Investments</w:t>
            </w:r>
          </w:p>
        </w:tc>
        <w:tc>
          <w:tcPr>
            <w:tcW w:w="14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r>
      <w:tr>
        <w:trPr>
          <w:trHeight w:val="121"/>
        </w:trPr>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Contract Datascan Holdings, Inc.</w:t>
            </w:r>
          </w:p>
        </w:tc>
        <w:tc>
          <w:tcPr>
            <w:tcW w:w="1400" w:type="dxa"/>
            <w:vAlign w:val="bottom"/>
          </w:tcPr>
          <w:p>
            <w:pPr>
              <w:ind w:left="180"/>
              <w:spacing w:after="0" w:line="122" w:lineRule="exact"/>
              <w:rPr>
                <w:sz w:val="20"/>
                <w:szCs w:val="20"/>
                <w:color w:val="auto"/>
              </w:rPr>
            </w:pPr>
            <w:r>
              <w:rPr>
                <w:rFonts w:ascii="Times New Roman" w:cs="Times New Roman" w:eastAsia="Times New Roman" w:hAnsi="Times New Roman"/>
                <w:sz w:val="11"/>
                <w:szCs w:val="11"/>
                <w:color w:val="auto"/>
              </w:rPr>
              <w:t>Preferred Equity (7)</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(467)</w:t>
            </w:r>
          </w:p>
        </w:tc>
        <w:tc>
          <w:tcPr>
            <w:tcW w:w="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316</w:t>
            </w:r>
          </w:p>
        </w:tc>
        <w:tc>
          <w:tcPr>
            <w:tcW w:w="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316</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9,201</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316</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(467)</w:t>
            </w:r>
          </w:p>
        </w:tc>
        <w:tc>
          <w:tcPr>
            <w:tcW w:w="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9,050</w:t>
            </w:r>
          </w:p>
        </w:tc>
      </w:tr>
      <w:tr>
        <w:trPr>
          <w:trHeight w:val="122"/>
        </w:trPr>
        <w:tc>
          <w:tcPr>
            <w:tcW w:w="1660" w:type="dxa"/>
            <w:vAlign w:val="bottom"/>
            <w:shd w:val="clear" w:color="auto" w:fill="CFF0FC"/>
          </w:tcPr>
          <w:p>
            <w:pPr>
              <w:spacing w:after="0"/>
              <w:rPr>
                <w:sz w:val="10"/>
                <w:szCs w:val="10"/>
                <w:color w:val="auto"/>
              </w:rPr>
            </w:pPr>
          </w:p>
        </w:tc>
        <w:tc>
          <w:tcPr>
            <w:tcW w:w="1400" w:type="dxa"/>
            <w:vAlign w:val="bottom"/>
            <w:shd w:val="clear" w:color="auto" w:fill="CFF0FC"/>
          </w:tcPr>
          <w:p>
            <w:pPr>
              <w:ind w:left="180"/>
              <w:spacing w:after="0" w:line="122" w:lineRule="exact"/>
              <w:rPr>
                <w:sz w:val="20"/>
                <w:szCs w:val="20"/>
                <w:color w:val="auto"/>
              </w:rPr>
            </w:pPr>
            <w:r>
              <w:rPr>
                <w:rFonts w:ascii="Times New Roman" w:cs="Times New Roman" w:eastAsia="Times New Roman" w:hAnsi="Times New Roman"/>
                <w:sz w:val="11"/>
                <w:szCs w:val="11"/>
                <w:color w:val="auto"/>
              </w:rPr>
              <w:t>Preferred Equity (7)</w:t>
            </w: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96</w:t>
            </w: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96</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2,884</w:t>
            </w: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96</w:t>
            </w: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2,980</w:t>
            </w:r>
          </w:p>
        </w:tc>
      </w:tr>
      <w:tr>
        <w:trPr>
          <w:trHeight w:val="122"/>
        </w:trPr>
        <w:tc>
          <w:tcPr>
            <w:tcW w:w="1660" w:type="dxa"/>
            <w:vAlign w:val="bottom"/>
          </w:tcPr>
          <w:p>
            <w:pPr>
              <w:spacing w:after="0"/>
              <w:rPr>
                <w:sz w:val="10"/>
                <w:szCs w:val="10"/>
                <w:color w:val="auto"/>
              </w:rPr>
            </w:pPr>
          </w:p>
        </w:tc>
        <w:tc>
          <w:tcPr>
            <w:tcW w:w="1400" w:type="dxa"/>
            <w:vAlign w:val="bottom"/>
          </w:tcPr>
          <w:p>
            <w:pPr>
              <w:ind w:left="180"/>
              <w:spacing w:after="0" w:line="122" w:lineRule="exact"/>
              <w:rPr>
                <w:sz w:val="20"/>
                <w:szCs w:val="20"/>
                <w:color w:val="auto"/>
              </w:rPr>
            </w:pPr>
            <w:r>
              <w:rPr>
                <w:rFonts w:ascii="Times New Roman" w:cs="Times New Roman" w:eastAsia="Times New Roman" w:hAnsi="Times New Roman"/>
                <w:sz w:val="11"/>
                <w:szCs w:val="11"/>
                <w:color w:val="auto"/>
              </w:rPr>
              <w:t>Common Equity (6)</w:t>
            </w:r>
          </w:p>
        </w:tc>
        <w:tc>
          <w:tcPr>
            <w:tcW w:w="60" w:type="dxa"/>
            <w:vAlign w:val="bottom"/>
          </w:tcPr>
          <w:p>
            <w:pPr>
              <w:spacing w:after="0"/>
              <w:rPr>
                <w:sz w:val="10"/>
                <w:szCs w:val="10"/>
                <w:color w:val="auto"/>
              </w:rPr>
            </w:pPr>
          </w:p>
        </w:tc>
        <w:tc>
          <w:tcPr>
            <w:tcW w:w="44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9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92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60" w:type="dxa"/>
            <w:vAlign w:val="bottom"/>
            <w:shd w:val="clear" w:color="auto" w:fill="CFF0FC"/>
          </w:tcPr>
          <w:p>
            <w:pPr>
              <w:spacing w:after="0"/>
              <w:rPr>
                <w:sz w:val="10"/>
                <w:szCs w:val="10"/>
                <w:color w:val="auto"/>
              </w:rPr>
            </w:pPr>
          </w:p>
        </w:tc>
        <w:tc>
          <w:tcPr>
            <w:tcW w:w="1400" w:type="dxa"/>
            <w:vAlign w:val="bottom"/>
            <w:shd w:val="clear" w:color="auto" w:fill="CFF0FC"/>
          </w:tcPr>
          <w:p>
            <w:pPr>
              <w:ind w:left="180"/>
              <w:spacing w:after="0" w:line="122" w:lineRule="exact"/>
              <w:rPr>
                <w:sz w:val="20"/>
                <w:szCs w:val="20"/>
                <w:color w:val="auto"/>
              </w:rPr>
            </w:pPr>
            <w:r>
              <w:rPr>
                <w:rFonts w:ascii="Times New Roman" w:cs="Times New Roman" w:eastAsia="Times New Roman" w:hAnsi="Times New Roman"/>
                <w:sz w:val="11"/>
                <w:szCs w:val="11"/>
                <w:color w:val="auto"/>
              </w:rPr>
              <w:t>Warrants (6)</w:t>
            </w: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1660" w:type="dxa"/>
            <w:vAlign w:val="bottom"/>
          </w:tcPr>
          <w:p>
            <w:pPr>
              <w:spacing w:after="0"/>
              <w:rPr>
                <w:sz w:val="10"/>
                <w:szCs w:val="10"/>
                <w:color w:val="auto"/>
              </w:rPr>
            </w:pPr>
          </w:p>
        </w:tc>
        <w:tc>
          <w:tcPr>
            <w:tcW w:w="1400" w:type="dxa"/>
            <w:vAlign w:val="bottom"/>
          </w:tcPr>
          <w:p>
            <w:pPr>
              <w:ind w:left="180"/>
              <w:spacing w:after="0" w:line="122" w:lineRule="exact"/>
              <w:rPr>
                <w:sz w:val="20"/>
                <w:szCs w:val="20"/>
                <w:color w:val="auto"/>
              </w:rPr>
            </w:pPr>
            <w:r>
              <w:rPr>
                <w:rFonts w:ascii="Times New Roman" w:cs="Times New Roman" w:eastAsia="Times New Roman" w:hAnsi="Times New Roman"/>
                <w:sz w:val="11"/>
                <w:szCs w:val="11"/>
                <w:color w:val="auto"/>
              </w:rPr>
              <w:t>Warrants (6)</w:t>
            </w: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ind w:lef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66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ind w:left="2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(467)</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412</w:t>
            </w: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ind w:left="1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412</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12,085</w:t>
            </w: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412</w:t>
            </w: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(467)</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12,030</w:t>
            </w:r>
          </w:p>
        </w:tc>
      </w:tr>
      <w:tr>
        <w:trPr>
          <w:trHeight w:val="122"/>
        </w:trPr>
        <w:tc>
          <w:tcPr>
            <w:tcW w:w="1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16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DRS Imaging Services, LLC</w:t>
            </w:r>
          </w:p>
        </w:tc>
        <w:tc>
          <w:tcPr>
            <w:tcW w:w="1400" w:type="dxa"/>
            <w:vAlign w:val="bottom"/>
            <w:shd w:val="clear" w:color="auto" w:fill="CFF0FC"/>
          </w:tcPr>
          <w:p>
            <w:pPr>
              <w:ind w:left="180"/>
              <w:spacing w:after="0" w:line="122" w:lineRule="exact"/>
              <w:rPr>
                <w:sz w:val="20"/>
                <w:szCs w:val="20"/>
                <w:color w:val="auto"/>
              </w:rPr>
            </w:pPr>
            <w:r>
              <w:rPr>
                <w:rFonts w:ascii="Times New Roman" w:cs="Times New Roman" w:eastAsia="Times New Roman" w:hAnsi="Times New Roman"/>
                <w:sz w:val="11"/>
                <w:szCs w:val="11"/>
                <w:color w:val="auto"/>
              </w:rPr>
              <w:t>Common Equity (6)</w:t>
            </w: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1,070</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2,671</w:t>
            </w: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1,070</w:t>
            </w: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3,741</w:t>
            </w:r>
          </w:p>
        </w:tc>
      </w:tr>
      <w:tr>
        <w:trPr>
          <w:trHeight w:val="122"/>
        </w:trPr>
        <w:tc>
          <w:tcPr>
            <w:tcW w:w="1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16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Pfanstiehl Holdings, Inc</w:t>
            </w:r>
          </w:p>
        </w:tc>
        <w:tc>
          <w:tcPr>
            <w:tcW w:w="1400" w:type="dxa"/>
            <w:vAlign w:val="bottom"/>
            <w:shd w:val="clear" w:color="auto" w:fill="CFF0FC"/>
          </w:tcPr>
          <w:p>
            <w:pPr>
              <w:ind w:left="180"/>
              <w:spacing w:after="0" w:line="122" w:lineRule="exact"/>
              <w:rPr>
                <w:sz w:val="20"/>
                <w:szCs w:val="20"/>
                <w:color w:val="auto"/>
              </w:rPr>
            </w:pPr>
            <w:r>
              <w:rPr>
                <w:rFonts w:ascii="Times New Roman" w:cs="Times New Roman" w:eastAsia="Times New Roman" w:hAnsi="Times New Roman"/>
                <w:sz w:val="11"/>
                <w:szCs w:val="11"/>
                <w:color w:val="auto"/>
              </w:rPr>
              <w:t>Common Equity</w:t>
            </w: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1,009</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874</w:t>
            </w: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874</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79,421</w:t>
            </w: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1,009</w:t>
            </w: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80,430</w:t>
            </w:r>
          </w:p>
        </w:tc>
      </w:tr>
      <w:tr>
        <w:trPr>
          <w:trHeight w:val="121"/>
        </w:trPr>
        <w:tc>
          <w:tcPr>
            <w:tcW w:w="1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16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SSJA Bariatric Management LLC</w:t>
            </w:r>
          </w:p>
        </w:tc>
        <w:tc>
          <w:tcPr>
            <w:tcW w:w="1400" w:type="dxa"/>
            <w:vAlign w:val="bottom"/>
            <w:shd w:val="clear" w:color="auto" w:fill="CFF0FC"/>
          </w:tcPr>
          <w:p>
            <w:pPr>
              <w:ind w:left="180"/>
              <w:spacing w:after="0" w:line="122" w:lineRule="exact"/>
              <w:rPr>
                <w:sz w:val="20"/>
                <w:szCs w:val="20"/>
                <w:color w:val="auto"/>
              </w:rPr>
            </w:pPr>
            <w:r>
              <w:rPr>
                <w:rFonts w:ascii="Times New Roman" w:cs="Times New Roman" w:eastAsia="Times New Roman" w:hAnsi="Times New Roman"/>
                <w:sz w:val="11"/>
                <w:szCs w:val="11"/>
                <w:color w:val="auto"/>
              </w:rPr>
              <w:t>First Lien Debt</w:t>
            </w: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235</w:t>
            </w: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234</w:t>
            </w:r>
          </w:p>
        </w:tc>
      </w:tr>
      <w:tr>
        <w:trPr>
          <w:trHeight w:val="122"/>
        </w:trPr>
        <w:tc>
          <w:tcPr>
            <w:tcW w:w="1660" w:type="dxa"/>
            <w:vAlign w:val="bottom"/>
          </w:tcPr>
          <w:p>
            <w:pPr>
              <w:spacing w:after="0"/>
              <w:rPr>
                <w:sz w:val="10"/>
                <w:szCs w:val="10"/>
                <w:color w:val="auto"/>
              </w:rPr>
            </w:pPr>
          </w:p>
        </w:tc>
        <w:tc>
          <w:tcPr>
            <w:tcW w:w="1400" w:type="dxa"/>
            <w:vAlign w:val="bottom"/>
          </w:tcPr>
          <w:p>
            <w:pPr>
              <w:ind w:left="180"/>
              <w:spacing w:after="0" w:line="122" w:lineRule="exact"/>
              <w:rPr>
                <w:sz w:val="20"/>
                <w:szCs w:val="20"/>
                <w:color w:val="auto"/>
              </w:rPr>
            </w:pPr>
            <w:r>
              <w:rPr>
                <w:rFonts w:ascii="Times New Roman" w:cs="Times New Roman" w:eastAsia="Times New Roman" w:hAnsi="Times New Roman"/>
                <w:sz w:val="11"/>
                <w:szCs w:val="11"/>
                <w:color w:val="auto"/>
              </w:rPr>
              <w:t>First Lien Debt</w:t>
            </w:r>
          </w:p>
        </w:tc>
        <w:tc>
          <w:tcPr>
            <w:tcW w:w="60" w:type="dxa"/>
            <w:vAlign w:val="bottom"/>
          </w:tcPr>
          <w:p>
            <w:pPr>
              <w:spacing w:after="0"/>
              <w:rPr>
                <w:sz w:val="10"/>
                <w:szCs w:val="10"/>
                <w:color w:val="auto"/>
              </w:rPr>
            </w:pPr>
          </w:p>
        </w:tc>
        <w:tc>
          <w:tcPr>
            <w:tcW w:w="44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9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95</w:t>
            </w:r>
          </w:p>
        </w:tc>
        <w:tc>
          <w:tcPr>
            <w:tcW w:w="14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95</w:t>
            </w:r>
          </w:p>
        </w:tc>
        <w:tc>
          <w:tcPr>
            <w:tcW w:w="140" w:type="dxa"/>
            <w:vAlign w:val="bottom"/>
          </w:tcPr>
          <w:p>
            <w:pPr>
              <w:spacing w:after="0"/>
              <w:rPr>
                <w:sz w:val="10"/>
                <w:szCs w:val="10"/>
                <w:color w:val="auto"/>
              </w:rPr>
            </w:pPr>
          </w:p>
        </w:tc>
        <w:tc>
          <w:tcPr>
            <w:tcW w:w="6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3,804</w:t>
            </w:r>
          </w:p>
        </w:tc>
        <w:tc>
          <w:tcPr>
            <w:tcW w:w="160" w:type="dxa"/>
            <w:vAlign w:val="bottom"/>
          </w:tcPr>
          <w:p>
            <w:pPr>
              <w:spacing w:after="0"/>
              <w:rPr>
                <w:sz w:val="10"/>
                <w:szCs w:val="10"/>
                <w:color w:val="auto"/>
              </w:rPr>
            </w:pPr>
          </w:p>
        </w:tc>
        <w:tc>
          <w:tcPr>
            <w:tcW w:w="8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w:t>
            </w:r>
          </w:p>
        </w:tc>
        <w:tc>
          <w:tcPr>
            <w:tcW w:w="160" w:type="dxa"/>
            <w:vAlign w:val="bottom"/>
          </w:tcPr>
          <w:p>
            <w:pPr>
              <w:spacing w:after="0"/>
              <w:rPr>
                <w:sz w:val="10"/>
                <w:szCs w:val="10"/>
                <w:color w:val="auto"/>
              </w:rPr>
            </w:pPr>
          </w:p>
        </w:tc>
        <w:tc>
          <w:tcPr>
            <w:tcW w:w="92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3,893</w:t>
            </w:r>
          </w:p>
        </w:tc>
      </w:tr>
      <w:tr>
        <w:trPr>
          <w:trHeight w:val="122"/>
        </w:trPr>
        <w:tc>
          <w:tcPr>
            <w:tcW w:w="166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ind w:left="180"/>
              <w:spacing w:after="0" w:line="122" w:lineRule="exact"/>
              <w:rPr>
                <w:sz w:val="20"/>
                <w:szCs w:val="20"/>
                <w:color w:val="auto"/>
              </w:rPr>
            </w:pPr>
            <w:r>
              <w:rPr>
                <w:rFonts w:ascii="Times New Roman" w:cs="Times New Roman" w:eastAsia="Times New Roman" w:hAnsi="Times New Roman"/>
                <w:sz w:val="11"/>
                <w:szCs w:val="11"/>
                <w:color w:val="auto"/>
              </w:rPr>
              <w:t>Common Equity (6)</w:t>
            </w:r>
          </w:p>
        </w:tc>
        <w:tc>
          <w:tcPr>
            <w:tcW w:w="6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FF0FC"/>
          </w:tcPr>
          <w:p>
            <w:pPr>
              <w:spacing w:after="0"/>
              <w:rPr>
                <w:sz w:val="10"/>
                <w:szCs w:val="10"/>
                <w:color w:val="auto"/>
              </w:rPr>
            </w:pPr>
          </w:p>
        </w:tc>
        <w:tc>
          <w:tcPr>
            <w:tcW w:w="9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(172)</w:t>
            </w: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1,729</w:t>
            </w:r>
          </w:p>
        </w:tc>
        <w:tc>
          <w:tcPr>
            <w:tcW w:w="16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(172)</w:t>
            </w:r>
          </w:p>
        </w:tc>
        <w:tc>
          <w:tcPr>
            <w:tcW w:w="12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1,557</w:t>
            </w:r>
          </w:p>
        </w:tc>
      </w:tr>
      <w:tr>
        <w:trPr>
          <w:trHeight w:val="115"/>
        </w:trPr>
        <w:tc>
          <w:tcPr>
            <w:tcW w:w="1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ind w:left="2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9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(173)</w:t>
            </w:r>
          </w:p>
        </w:tc>
        <w:tc>
          <w:tcPr>
            <w:tcW w:w="100" w:type="dxa"/>
            <w:vAlign w:val="bottom"/>
          </w:tcPr>
          <w:p>
            <w:pPr>
              <w:spacing w:after="0"/>
              <w:rPr>
                <w:sz w:val="10"/>
                <w:szCs w:val="10"/>
                <w:color w:val="auto"/>
              </w:rPr>
            </w:pPr>
          </w:p>
        </w:tc>
        <w:tc>
          <w:tcPr>
            <w:tcW w:w="5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101</w:t>
            </w:r>
          </w:p>
        </w:tc>
        <w:tc>
          <w:tcPr>
            <w:tcW w:w="140" w:type="dxa"/>
            <w:vAlign w:val="bottom"/>
          </w:tcPr>
          <w:p>
            <w:pPr>
              <w:spacing w:after="0"/>
              <w:rPr>
                <w:sz w:val="10"/>
                <w:szCs w:val="10"/>
                <w:color w:val="auto"/>
              </w:rPr>
            </w:pPr>
          </w:p>
        </w:tc>
        <w:tc>
          <w:tcPr>
            <w:tcW w:w="66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ind w:left="1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8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101</w:t>
            </w:r>
          </w:p>
        </w:tc>
        <w:tc>
          <w:tcPr>
            <w:tcW w:w="140" w:type="dxa"/>
            <w:vAlign w:val="bottom"/>
          </w:tcPr>
          <w:p>
            <w:pPr>
              <w:spacing w:after="0"/>
              <w:rPr>
                <w:sz w:val="10"/>
                <w:szCs w:val="10"/>
                <w:color w:val="auto"/>
              </w:rPr>
            </w:pPr>
          </w:p>
        </w:tc>
        <w:tc>
          <w:tcPr>
            <w:tcW w:w="68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5,768</w:t>
            </w:r>
          </w:p>
        </w:tc>
        <w:tc>
          <w:tcPr>
            <w:tcW w:w="160" w:type="dxa"/>
            <w:vAlign w:val="bottom"/>
          </w:tcPr>
          <w:p>
            <w:pPr>
              <w:spacing w:after="0"/>
              <w:rPr>
                <w:sz w:val="10"/>
                <w:szCs w:val="10"/>
                <w:color w:val="auto"/>
              </w:rPr>
            </w:pPr>
          </w:p>
        </w:tc>
        <w:tc>
          <w:tcPr>
            <w:tcW w:w="8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89</w:t>
            </w:r>
          </w:p>
        </w:tc>
        <w:tc>
          <w:tcPr>
            <w:tcW w:w="160" w:type="dxa"/>
            <w:vAlign w:val="bottom"/>
          </w:tcPr>
          <w:p>
            <w:pPr>
              <w:spacing w:after="0"/>
              <w:rPr>
                <w:sz w:val="10"/>
                <w:szCs w:val="10"/>
                <w:color w:val="auto"/>
              </w:rPr>
            </w:pPr>
          </w:p>
        </w:tc>
        <w:tc>
          <w:tcPr>
            <w:tcW w:w="9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(173)</w:t>
            </w:r>
          </w:p>
        </w:tc>
        <w:tc>
          <w:tcPr>
            <w:tcW w:w="120" w:type="dxa"/>
            <w:vAlign w:val="bottom"/>
          </w:tcPr>
          <w:p>
            <w:pPr>
              <w:spacing w:after="0"/>
              <w:rPr>
                <w:sz w:val="10"/>
                <w:szCs w:val="10"/>
                <w:color w:val="auto"/>
              </w:rPr>
            </w:pPr>
          </w:p>
        </w:tc>
        <w:tc>
          <w:tcPr>
            <w:tcW w:w="92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5,684</w:t>
            </w:r>
          </w:p>
        </w:tc>
      </w:tr>
      <w:tr>
        <w:trPr>
          <w:trHeight w:val="122"/>
        </w:trPr>
        <w:tc>
          <w:tcPr>
            <w:tcW w:w="1660" w:type="dxa"/>
            <w:vAlign w:val="bottom"/>
            <w:tcBorders>
              <w:bottom w:val="single" w:sz="8" w:color="CFF0FC"/>
            </w:tcBorders>
            <w:shd w:val="clear" w:color="auto" w:fill="CFF0FC"/>
          </w:tcPr>
          <w:p>
            <w:pPr>
              <w:spacing w:after="0"/>
              <w:rPr>
                <w:sz w:val="10"/>
                <w:szCs w:val="10"/>
                <w:color w:val="auto"/>
              </w:rPr>
            </w:pPr>
          </w:p>
        </w:tc>
        <w:tc>
          <w:tcPr>
            <w:tcW w:w="14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90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tcBorders>
            <w:shd w:val="clear" w:color="auto" w:fill="CFF0FC"/>
          </w:tcPr>
          <w:p>
            <w:pPr>
              <w:spacing w:after="0"/>
              <w:rPr>
                <w:sz w:val="10"/>
                <w:szCs w:val="10"/>
                <w:color w:val="auto"/>
              </w:rPr>
            </w:pPr>
          </w:p>
        </w:tc>
      </w:tr>
      <w:tr>
        <w:trPr>
          <w:trHeight w:val="115"/>
        </w:trPr>
        <w:tc>
          <w:tcPr>
            <w:tcW w:w="16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Affiliate Investments</w:t>
            </w:r>
          </w:p>
        </w:tc>
        <w:tc>
          <w:tcPr>
            <w:tcW w:w="140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ind w:left="2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1,438</w:t>
            </w:r>
          </w:p>
        </w:tc>
        <w:tc>
          <w:tcPr>
            <w:tcW w:w="1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101</w:t>
            </w:r>
          </w:p>
        </w:tc>
        <w:tc>
          <w:tcPr>
            <w:tcW w:w="1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1,286</w:t>
            </w:r>
          </w:p>
        </w:tc>
        <w:tc>
          <w:tcPr>
            <w:tcW w:w="1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ind w:left="1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1,387</w:t>
            </w:r>
          </w:p>
        </w:tc>
        <w:tc>
          <w:tcPr>
            <w:tcW w:w="1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99,945</w:t>
            </w:r>
          </w:p>
        </w:tc>
        <w:tc>
          <w:tcPr>
            <w:tcW w:w="1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2,580</w:t>
            </w:r>
          </w:p>
        </w:tc>
        <w:tc>
          <w:tcPr>
            <w:tcW w:w="1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(640)</w:t>
            </w:r>
          </w:p>
        </w:tc>
        <w:tc>
          <w:tcPr>
            <w:tcW w:w="1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101,885</w:t>
            </w:r>
          </w:p>
        </w:tc>
      </w:tr>
      <w:tr>
        <w:trPr>
          <w:trHeight w:val="20"/>
        </w:trPr>
        <w:tc>
          <w:tcPr>
            <w:tcW w:w="1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80" w:right="160" w:hanging="372"/>
        <w:spacing w:after="0" w:line="257"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balance, interest rate and maturity of debt investments, and ownership detail for equity investments are presented in the consolidated schedule of investments. The Company’s investments are generally classified as “restricted securities” as such term is defined under Regulation S-X Rule 6-03(f) or Securities Act Rule 144.</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amount of interest, fees or dividends included in income for the three months ended March 31, 2026.</w:t>
      </w:r>
    </w:p>
    <w:p>
      <w:pPr>
        <w:spacing w:after="0" w:line="9" w:lineRule="exact"/>
        <w:rPr>
          <w:rFonts w:ascii="Times New Roman" w:cs="Times New Roman" w:eastAsia="Times New Roman" w:hAnsi="Times New Roman"/>
          <w:sz w:val="18"/>
          <w:szCs w:val="18"/>
          <w:color w:val="auto"/>
        </w:rPr>
      </w:pPr>
    </w:p>
    <w:p>
      <w:pPr>
        <w:ind w:left="380" w:right="60" w:hanging="372"/>
        <w:spacing w:after="0" w:line="250"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cost basis of investments resulting from a new portfolio investment, PIK interest, fees and dividends, accretion of Net Loan Fees, and net increases in unrealized appreciation or decreases in net unrealized depreciation.</w:t>
      </w:r>
    </w:p>
    <w:p>
      <w:pPr>
        <w:ind w:left="380" w:right="120" w:hanging="372"/>
        <w:spacing w:after="0" w:line="250"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repayments and sales, and net decreases in net unrealized appreciation or net increases in net unrealized depreciation.</w:t>
      </w: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Fair value was determined using significant unobservable inputs. See </w:t>
      </w:r>
      <w:r>
        <w:rPr>
          <w:rFonts w:ascii="Times New Roman" w:cs="Times New Roman" w:eastAsia="Times New Roman" w:hAnsi="Times New Roman"/>
          <w:sz w:val="18"/>
          <w:szCs w:val="18"/>
          <w:b w:val="1"/>
          <w:bCs w:val="1"/>
          <w:color w:val="auto"/>
        </w:rPr>
        <w:t>Note 5</w:t>
      </w:r>
      <w:r>
        <w:rPr>
          <w:rFonts w:ascii="Times New Roman" w:cs="Times New Roman" w:eastAsia="Times New Roman" w:hAnsi="Times New Roman"/>
          <w:sz w:val="18"/>
          <w:szCs w:val="18"/>
          <w:color w:val="auto"/>
        </w:rPr>
        <w:t xml:space="preserve"> for further details.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Non-income producing. The Company has not recognized income on the security during the prior twelve-month period preceding the period-end date.</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recognized as income include PIK dividends contractually earned but not declared.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Declaration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April 28, 2026, the Board declared a distribution of $0.17 per share for the second quarter of 2026, payable on July 6, 2026 to stockholders of record as of June 19,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following analysis of our financial condition and results of operations should be read in conjunction with our consolidated financial statements and the related notes thereto contained elsewhere in this Quarterly Report on Form 10-Q. For additional overview information on the Company, see “Item 1. Business” in our Annual Report on Form 10-K for the year ended December 31,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Overview</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67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Key performance metrics per common share are presented below:</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8"/>
        </w:trPr>
        <w:tc>
          <w:tcPr>
            <w:tcW w:w="6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9.19</w:t>
            </w:r>
          </w:p>
        </w:tc>
      </w:tr>
      <w:tr>
        <w:trPr>
          <w:trHeight w:val="337"/>
        </w:trPr>
        <w:tc>
          <w:tcPr>
            <w:tcW w:w="67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6760" w:type="dxa"/>
            <w:vAlign w:val="bottom"/>
          </w:tcPr>
          <w:p>
            <w:pPr>
              <w:spacing w:after="0"/>
              <w:rPr>
                <w:sz w:val="18"/>
                <w:szCs w:val="18"/>
                <w:color w:val="auto"/>
              </w:rPr>
            </w:pPr>
          </w:p>
        </w:tc>
        <w:tc>
          <w:tcPr>
            <w:tcW w:w="202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680" w:type="dxa"/>
            <w:vAlign w:val="bottom"/>
            <w:shd w:val="clear" w:color="auto" w:fill="CFF0FC"/>
          </w:tcPr>
          <w:p>
            <w:pPr>
              <w:jc w:val="right"/>
              <w:ind w:right="51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c>
          <w:tcPr>
            <w:tcW w:w="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net assets resulting from operations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 paid</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r>
    </w:tbl>
    <w:p>
      <w:pPr>
        <w:spacing w:after="0" w:line="103"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Our NAV per common share decreased from $9.19 at December 31, 2025 to $8.16 at March 31, 2026, due to a net loss on investments of $1.03 per common share, loss on extinguishment of debt of $0.01 per common share, partially offset by our quarterly net investment income of $0.18 per common share exceeding our quarterly distribution of $0.17 per common share.</w:t>
      </w:r>
    </w:p>
    <w:p>
      <w:pPr>
        <w:spacing w:after="0" w:line="68"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For the quarter ended March 31, 2026, total investment income decreased from $9.4 million in the prior quarter to $8.9 million, primarily due to a decrease in interest income, partially offset by an increase in non-recurring dividend income. See “—Results of Operations” for additional information.</w:t>
      </w:r>
    </w:p>
    <w:p>
      <w:pPr>
        <w:spacing w:after="0" w:line="54"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Our total outstanding debt decreased from $220.5 million at December 31, 2025 to $202.5 million at March 31, 2026. For the quarter ended March 31, 2026, our weighted-average debt interest costs increased to 7.34 % compared to 7.07% for the quarter ended December 31, 2025, primarily due to an increase in the weighted average debt interest costs of our Unsecured Notes. The decrease of $18.0 million in our total outstanding debt during the quarter ended March 31, 2026 was due to the final $16.0 million redemption of the Unsecured Notes Due February 2026 and net paydowns of $2.0 million on our revolving credit facilities. Following the maturity extension of our Banc of California Credit Facility in January 2026, the final repayment of our Unsecured Notes Due February 2026, and the execution of our Natixis Facility in February 2026, we do not have any debt maturities until February 2028. See “—Results of Operations” and “—Liquidity and Capital Resources” for additional information.</w:t>
      </w:r>
    </w:p>
    <w:p>
      <w:pPr>
        <w:spacing w:after="0" w:line="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quarter ended March 31, 2026, we recognized a net loss on investments of $13.9 million due to a net realized loss of $11.3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unrealized depreciation, net of taxes, of $2.6 million. For the quarter ended March 31, 2026, our net realized and unrealized loss on investments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 million was primarily attributable to $10.3 million of net realized and unrealized losses on our Structured Finance Securities. As of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non-accrual loans with an aggregate fair value of $10.9 million, or 3.5 % of our total investments at fair value. See “—Portfolio Composition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Activity” for additional information.</w:t>
      </w:r>
    </w:p>
    <w:p>
      <w:pPr>
        <w:spacing w:after="0" w:line="9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As of March 31, 2026, the aggregate amount outstanding of the senior securities issued by us was $202.5 million, for which our asset coverage ratio was 154%, exceeding the minimum asset coverage requirement of 150% under the 1940 Act. As of March 31, 2026, we remained in compliance with all applicable covenants under our outstanding debt facilities. As of March 31, 2026, we had unused commitments of $6.3 million under our Banc of California Credit Facility, and $35.3 million under our Natixis Facility, each of which is subject to a borrowing base and other covenants. As of March 31, 2026, we had unfunded commitments of $7.8 million to fund outstanding commitments to portfolio companies. See “—Liquidity and Capital Resources” for additional information.</w:t>
      </w:r>
    </w:p>
    <w:p>
      <w:pPr>
        <w:spacing w:after="0" w:line="7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On April 28, 2026, the Board declared a distribution of $0.17 per share for the second quarter of 2026, payable on July 6, 2026 to stockholders of record as of June 19,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and estimates are those relating to revenue recognition and fair value estimates. Management has discussed the development and selection of each critical accounting policy and estimate with the Audit Committee of the Board. For descriptions of our revenue recognition and fair value policies, see “Item 8. Financial Statements—Notes to Consolidated Financial Statements—Note 2” and “Item 7. Management’s Discussion and Analysis of Financial Condition and Results of Operations—Critical Accounting Policies and Significant Estimates” in our Annual Report on Form 10-K for the year ended December 31, 2025.</w:t>
      </w:r>
    </w:p>
    <w:p>
      <w:pPr>
        <w:spacing w:after="0" w:line="75"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impact of our fair value measures if we selected the low or high end of the range of estimated values for all investments as of March 31, 2026 (dollar amounts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Range of Fair Value</w:t>
            </w:r>
            <w:r>
              <w:rPr>
                <w:rFonts w:ascii="Times New Roman" w:cs="Times New Roman" w:eastAsia="Times New Roman" w:hAnsi="Times New Roman"/>
                <w:sz w:val="24"/>
                <w:szCs w:val="24"/>
                <w:b w:val="1"/>
                <w:bCs w:val="1"/>
                <w:color w:val="auto"/>
                <w:vertAlign w:val="superscript"/>
              </w:rPr>
              <w:t>(1)</w:t>
            </w: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60" w:type="dxa"/>
            <w:vAlign w:val="bottom"/>
          </w:tcPr>
          <w:p>
            <w:pPr>
              <w:spacing w:after="0"/>
              <w:rPr>
                <w:sz w:val="20"/>
                <w:szCs w:val="20"/>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Low-end</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High-end</w:t>
            </w: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lien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152,713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149,378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156,543</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Second lien</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3,869</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3,398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4,614</w:t>
            </w:r>
          </w:p>
        </w:tc>
        <w:tc>
          <w:tcPr>
            <w:tcW w:w="0" w:type="dxa"/>
            <w:vAlign w:val="bottom"/>
          </w:tcPr>
          <w:p>
            <w:pPr>
              <w:spacing w:after="0"/>
              <w:rPr>
                <w:sz w:val="1"/>
                <w:szCs w:val="1"/>
                <w:color w:val="auto"/>
              </w:rPr>
            </w:pPr>
          </w:p>
        </w:tc>
      </w:tr>
      <w:tr>
        <w:trPr>
          <w:trHeight w:val="43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Subordinated notes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42,259</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39,440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44,817</w:t>
            </w:r>
          </w:p>
        </w:tc>
        <w:tc>
          <w:tcPr>
            <w:tcW w:w="0" w:type="dxa"/>
            <w:vAlign w:val="bottom"/>
          </w:tcPr>
          <w:p>
            <w:pPr>
              <w:spacing w:after="0"/>
              <w:rPr>
                <w:sz w:val="1"/>
                <w:szCs w:val="1"/>
                <w:color w:val="auto"/>
              </w:rPr>
            </w:pPr>
          </w:p>
        </w:tc>
      </w:tr>
      <w:tr>
        <w:trPr>
          <w:trHeight w:val="234"/>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Mezzanine debt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6,385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6,521</w:t>
            </w:r>
          </w:p>
        </w:tc>
        <w:tc>
          <w:tcPr>
            <w:tcW w:w="0" w:type="dxa"/>
            <w:vAlign w:val="bottom"/>
          </w:tcPr>
          <w:p>
            <w:pPr>
              <w:spacing w:after="0"/>
              <w:rPr>
                <w:sz w:val="1"/>
                <w:szCs w:val="1"/>
                <w:color w:val="auto"/>
              </w:rPr>
            </w:pPr>
          </w:p>
        </w:tc>
      </w:tr>
      <w:tr>
        <w:trPr>
          <w:trHeight w:val="198"/>
        </w:trPr>
        <w:tc>
          <w:tcPr>
            <w:tcW w:w="6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15,104</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equity, warrants and other</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90,168</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82,378</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98,062</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308,120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291,235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325,661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ind w:left="380" w:right="300" w:hanging="372"/>
        <w:spacing w:after="0" w:line="26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investments are classified as Level 3 under ASC Topic 820. This means that our portfolio valuations are based on unobservable inputs and assumptions about how market participants would price the asset in question. Inputs into the determination of fair value of our portfolio investments require significant management judgment and estimation.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760" w:right="160" w:hanging="378"/>
        <w:spacing w:after="0" w:line="26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 with OFS Advisor to manage our operating and investment activities. Under the Investment Advisory Agreement, we have agreed to pay OFS Advisor an annual base management fee based on the average value of our total assets (other than cash and cash equivalents, but including assets purchased with borrowed amounts and including assets owned by any consolidated entity) as well as an incentive fee based on our investment performance. See “Item 1—Financial Statements—</w:t>
      </w: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 with OFS Services, an affiliate of OFS Advisor, to provide us with the office facilities and administrative services necessary to conduct our operations. See “Item 1—Financial Statements—</w:t>
      </w: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agreement with OFSAM, the parent company of OFS Advisor, under which OFSAM has agreed to grant us a non-exclusive, royalty-free license to use the name “OFS.” Under this agreement, we have a right to use the “OFS” name for so long as OFS Advisor or one of its affiliates remains our investment adviser. Other than with respect to this limited license, we have no legal right to the “OFS” name. This license agreement will remain in effect for so long as the Investment Advisory Agreement with OFS Advisor is in effect.</w:t>
      </w:r>
    </w:p>
    <w:p>
      <w:pPr>
        <w:spacing w:after="0" w:line="72"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OFS Advisor’s services under the Investment Advisory Agreement are not exclusive to us and OFS Advisor is free to furnish similar services to other entities, including other funds advised or sub-advised by OFS Advisor, so long as its services to us are not impaired. OFS Advisor also serves as the investment adviser to other funds, including HPCI and OCCI. Additionally, OFS Advisor provides sub-advisory services to: (i) CMFT Securities Investments, LLC, a wholly owned subsidiary of CIM Real Estate Finance Trust, Inc., a corporation that qualifies as a real estate investment trust; and (ii) CIM Real Assets &amp; Credit Fund, an externally managed registered investment company that operates as an interval fund that invests primarily in a combination of real estate, credit and related investments.</w:t>
      </w:r>
    </w:p>
    <w:p>
      <w:pPr>
        <w:spacing w:after="0" w:line="79"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On April 17, 2026, OFS Advisor agreed to waive its base management fee for the quarter ended March 31, 2026 attributable to all of the OFSCC-FS Assets to 0.25% per quarter (1.00% annualized) of the average value of the OFSCC-FS Assets (other than cash and cash equivalents, but including assets purchased with borrowed amounts) at the end of the two most recently completed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ind w:right="40"/>
        <w:spacing w:after="0" w:line="266" w:lineRule="auto"/>
        <w:rPr>
          <w:sz w:val="20"/>
          <w:szCs w:val="20"/>
          <w:color w:val="auto"/>
        </w:rPr>
      </w:pPr>
      <w:r>
        <w:rPr>
          <w:rFonts w:ascii="Times New Roman" w:cs="Times New Roman" w:eastAsia="Times New Roman" w:hAnsi="Times New Roman"/>
          <w:sz w:val="18"/>
          <w:szCs w:val="18"/>
          <w:color w:val="auto"/>
        </w:rPr>
        <w:t>calendar quarters. This waiver differs from prior periods where OFS Advisor had contractually agreed to reduce its base management fee for the entire year at the beginning of the year. As of March 31, 2026, there is no active ongoing fee waiver or reduction agreement in place with OFS Advisor for the remainder of 2026.</w:t>
      </w:r>
    </w:p>
    <w:p>
      <w:pPr>
        <w:spacing w:after="0" w:line="68"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OFS Advisor agreed to reduce its base management fee attributable to all of the OFSCC-FS Assets to 0.25% per quarter (1.00% annualized) of the average value of the OFSCC-FS Assets (other than cash and cash equivalents, but including assets purchased with borrowed amounts) at the end of the two most recently completed calendar quarters.</w:t>
      </w:r>
    </w:p>
    <w:p>
      <w:pPr>
        <w:spacing w:after="0" w:line="68"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OFS Advisor is not entitled to recoup the amount of the base management fee waived or reduced with respect to the OFSCC-FS Assets. The fee waiver and reductions were provided at OFS Advisor’s discretion; there can be no assurance that similar fee waivers or reductions will be provided in future periods.</w:t>
      </w:r>
    </w:p>
    <w:p>
      <w:pPr>
        <w:spacing w:after="0" w:line="6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1940 Act generally prohibits BDCs from making certain negotiated co-investments with certain affiliates absent an order from the SEC permitting the BDC to do so. On August 4, 2020, we received our existing Order, which superseded a previous order that we received on October 12, 2016, and provides us with greater flexibility to enter into co-investment transactions with certain Affiliated Funds in a manner consistent with our investment objective, positions, policies, strategies and restrictions as well as regulatory requirements and other pertinent factors, subject to compliance with certain conditions. We are generally permitted to co-invest with Affiliated Funds if, under the terms of the Order, a “required majority” (as defined in Section 57(o) of the 1940 Act) of our independent directors make certain conclusions in connection with a co-investment transaction, including that: (1) the terms of the transaction, including the consideration to be paid, are reasonable and fair to us and our stockholders and do not involve overreaching in respect of us or our stockholders on the part of any person concerned; (2) the transaction is consistent with the interests of our stockholders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OFS Advisor, the other Affiliated Funds that are participating in the investment, or any affiliated person of any of them (other than parties to the transaction), except to the extent permitted by the exemptive relief and applicable law, including the limitations set forth in Section 57(k) of the 1940 Act.</w:t>
      </w:r>
    </w:p>
    <w:p>
      <w:pPr>
        <w:spacing w:after="0" w:line="82"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In addition, we have submitted a new application for exemptive relief that, if granted, will supersede our existing Order and permit us to co-invest pursuant to a different set of conditions than those in our existing Order. However, there is no guarantee that the SEC will grant such application.</w:t>
      </w:r>
    </w:p>
    <w:p>
      <w:pPr>
        <w:spacing w:after="0" w:line="5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Conflicts may arise when we make an investment in conjunction with an investment being made by an Affiliated Account, or in a transaction where an Affiliated Account has already made an investment. Investment opportunities are, from time to time, appropriate for more than one account in the same, different or overlapping securities of a portfolio company’s capital structure. Conflicts arise in determining the terms of investments, particularly where these accounts may invest in different types of securities in a single portfolio company. Potential conflicts arise when addressing, among other things, questions as to whether payment obligations and covenants should be enforced, modified or waived, or whether debt should be restructured, modified or refinanced. For a discussion of the risks associated with conflicts of interest, see “Item 1. Business—Regulation—Conflicts of Interest” and “Item 1A. Risk Factors—Risks Related to OFS Advisor and its Affiliates—We have potential conflicts of interest related to the purchases and sales that OFS Advisor makes on our behalf and/or on behalf of Affiliated Accounts” in our Annual Report on Form 10-K for the year ended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Composition and Investment Activity</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Portfolio Composition</w:t>
      </w:r>
    </w:p>
    <w:p>
      <w:pPr>
        <w:spacing w:after="0" w:line="12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of March 31, 2026, the fair value of our debt investment portfolio totaled $156.6 million in 34 portfolio companies, of which approximately 98% and 2% were first lien and second lien debt investments, respectively. We also had equity investments in 14 portfolio companies with a fair value of approximately $102.9 million and 13 investments in Structured Finance Securities with a fair value of approximately $48.6 million. As of March 31, 2026, we had unfunded commitments of $7.8 million to fund outstanding commitments to 12 portfolio companies. Set forth in the tables and charts below is selected information with respect to our portfolio as of March 31, 2026 and December 31, 2025.</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left="760"/>
        <w:spacing w:after="0"/>
        <w:rPr>
          <w:sz w:val="20"/>
          <w:szCs w:val="20"/>
          <w:color w:val="auto"/>
        </w:rPr>
      </w:pPr>
      <w:r>
        <w:rPr>
          <w:rFonts w:ascii="Times New Roman" w:cs="Times New Roman" w:eastAsia="Times New Roman" w:hAnsi="Times New Roman"/>
          <w:sz w:val="18"/>
          <w:szCs w:val="18"/>
          <w:color w:val="auto"/>
        </w:rPr>
        <w:t>The following table presents our ten largest investments by issuer based on fair value as of March 31, 2026 (dollar amounts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2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 of Net</w:t>
            </w:r>
          </w:p>
        </w:tc>
      </w:tr>
      <w:tr>
        <w:trPr>
          <w:trHeight w:val="216"/>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Portfolio, at</w:t>
            </w:r>
          </w:p>
        </w:tc>
        <w:tc>
          <w:tcPr>
            <w:tcW w:w="12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Assets, at</w:t>
            </w:r>
          </w:p>
        </w:tc>
      </w:tr>
      <w:tr>
        <w:trPr>
          <w:trHeight w:val="238"/>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Issuer Name</w:t>
            </w:r>
          </w:p>
        </w:tc>
        <w:tc>
          <w:tcPr>
            <w:tcW w:w="1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Type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Pfanstiehl Holdings, Inc.</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80,430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Kreg LLC</w:t>
            </w: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17,984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SS Acquisition, LLC</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17,183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17,420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Inergex Holdings, LLC</w:t>
            </w: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17,387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Datascan Holdings, Inc.</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13,019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12,030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One GI LLC</w:t>
            </w: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10,916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Boca Home Care Holdings, Inc.</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Debt and Equity</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10,777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10,412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Tolemar Acquisition, Inc.</w:t>
            </w: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9,610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PSB Group, LLC</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8,232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8,346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24 Seven Holdco, LLC</w:t>
            </w: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8,345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8,345</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3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121,149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192,879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As of March 31, 2026, our common equity investment in Pfanstiehl Holdings, Inc., a global manufacturer of high-purity pharmaceutical ingredients, accounted for 26.1% and 73.6% of our total portfolio at fair value and our total net assets, respectively. The value of this investment is substantially comprised of unrealized appreciation of $80.2 million. The valuation’s unobservable inputs incorporate discounts for the minority-interest and illiquid nature of the security; however, the valuation, in accordance with fair value concepts, is based on assumptions applicable to an orderly transaction between market participants and does not reflect the impact of a forced sale or entity-specific liquidity constraints. As a result, there can be no assurance that we would be able to realize this value in a timely manner, or at all.</w:t>
      </w:r>
    </w:p>
    <w:p>
      <w:pPr>
        <w:spacing w:after="0" w:line="79"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approximately 4.4% and 12.5% of our total portfolio at fair value and net assets, respectively, were comprised of Structured Finance Securities managed by a single adviser.</w:t>
      </w:r>
    </w:p>
    <w:p>
      <w:pPr>
        <w:spacing w:after="0" w:line="54"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A deterioration or improvement in the operating performance of these portfolio investments, or other factors underlying the valuation of these investments, could have a material impact on our NAV.</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Portfolio Yields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weighted-average yield metrics for our portfolio as of March 31, 2026 and December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368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10"/>
        </w:trPr>
        <w:tc>
          <w:tcPr>
            <w:tcW w:w="7560" w:type="dxa"/>
            <w:vAlign w:val="bottom"/>
          </w:tcPr>
          <w:p>
            <w:pPr>
              <w:spacing w:after="0"/>
              <w:rPr>
                <w:sz w:val="18"/>
                <w:szCs w:val="18"/>
                <w:color w:val="auto"/>
              </w:rPr>
            </w:pPr>
          </w:p>
        </w:tc>
        <w:tc>
          <w:tcPr>
            <w:tcW w:w="1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75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Weighted-average performing income yield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investments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Interest-bearing investments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75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7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Weighted-average realized yield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34"/>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Interest-bearing investments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-593725</wp:posOffset>
            </wp:positionV>
            <wp:extent cx="768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65" w:lineRule="exact"/>
        <w:rPr>
          <w:sz w:val="20"/>
          <w:szCs w:val="20"/>
          <w:color w:val="auto"/>
        </w:rPr>
      </w:pPr>
    </w:p>
    <w:p>
      <w:pPr>
        <w:ind w:left="380" w:right="6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income yield is calculated as (a) the actual amount earned on performing interest-bearing investments, including interest, prepayment fees and amortization of Net Loan Fees, divided by (b) the weighted-average of total performing interest-bearing investments at amortized cost.</w:t>
      </w:r>
    </w:p>
    <w:p>
      <w:pPr>
        <w:spacing w:after="0" w:line="53" w:lineRule="exact"/>
        <w:rPr>
          <w:rFonts w:ascii="Times New Roman" w:cs="Times New Roman" w:eastAsia="Times New Roman" w:hAnsi="Times New Roman"/>
          <w:sz w:val="18"/>
          <w:szCs w:val="18"/>
          <w:color w:val="auto"/>
        </w:rPr>
      </w:pPr>
    </w:p>
    <w:p>
      <w:pPr>
        <w:jc w:val="both"/>
        <w:ind w:left="380" w:right="22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yield is calculated as (a) the actual amount earned on interest-bearing investments, including interest, prepayment fees and amortization of Net Loan Fees, divided by (b) the weighted-average of total interest-bearing investments at amortized cost, in each case, including debt investments on non-accrual status and non-performing Structured Finance Securities.</w:t>
      </w:r>
    </w:p>
    <w:p>
      <w:pPr>
        <w:spacing w:after="0" w:line="68"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weighted-average performing income yield on interest-bearing investments decreased to 12.5% from 13.5% during the prior quarter. This decrease is primarily attributable to a 2.53% decrease in the performing income yield on our Structured Finance Securities primarily related to a decline in the effective yields on our subordinated note investments.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Weighted-average yields of our investments are not the same as a return on investment for our stockholders, but rather the gross investment income from our investment portfolio before the payment of all of our fees and expenses. There can be no assurance that the weighted average yields will remain at their current levels. As of March 31, 2026, 94% of our total loan portfolio, at fair value, consisted of variable rate investments, generally indexed to SOFR. See additional information under “Item 3. Quantitative and Qualitative Disclosures About Market Risk”.</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Portfolio Company Investments</w:t>
      </w:r>
    </w:p>
    <w:p>
      <w:pPr>
        <w:spacing w:after="0" w:line="121"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composition of our Portfolio Company Investments as of March 31, 2026 and December 31, 2025 (dollar amounts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8"/>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7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First lien debt investments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171,353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152,713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188,236</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170,405</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 investments</w:t>
            </w: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9,409</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equity</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14,699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12,726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14,287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12,567</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warrants and other</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18,598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90,168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23,320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88,029</w:t>
            </w:r>
          </w:p>
        </w:tc>
      </w:tr>
      <w:tr>
        <w:trPr>
          <w:trHeight w:val="24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Portfolio Company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222,989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259,476</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250,767</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280,410</w:t>
            </w:r>
          </w:p>
        </w:tc>
      </w:tr>
      <w:tr>
        <w:trPr>
          <w:trHeight w:val="215"/>
        </w:trPr>
        <w:tc>
          <w:tcPr>
            <w:tcW w:w="5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Number of portfolio companies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-173990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-156845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-173990</wp:posOffset>
            </wp:positionV>
            <wp:extent cx="857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-156845</wp:posOffset>
            </wp:positionV>
            <wp:extent cx="857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-173990</wp:posOffset>
            </wp:positionV>
            <wp:extent cx="857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-156845</wp:posOffset>
            </wp:positionV>
            <wp:extent cx="857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5" w:lineRule="exact"/>
        <w:rPr>
          <w:sz w:val="20"/>
          <w:szCs w:val="20"/>
          <w:color w:val="auto"/>
        </w:rPr>
      </w:pPr>
    </w:p>
    <w:p>
      <w:pPr>
        <w:ind w:left="380" w:right="80" w:hanging="372"/>
        <w:spacing w:after="0" w:line="258"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and December 31, 2025, first lien debt investments include unitranche investments (which are loans that combine both senior and subordinated debt, in a first lien position) with an amortized cost and fair value of $125.3 million and $110.5 million, respectively, and $130.3 million and $116.3 million, respectively. Unitranche loans generally provide leverage levels comparable to a combination of first lien and second lien or subordinated loans. Investments in “last out” pieces of unitranche loans will be similar to second lien loans in that such investments will be junior in priority to the “first out” piece of the same unitranche loan with respect to payment of principal and interest.</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2026, 100% of our loan portfolio and 51% of our total portfolio consisted of first lien and second lien loans, based on fair value.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2026, the three largest industries of our Portfolio Company Investments by fair value, were: (1) Manufacturing (37.2%);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Care and Social Assistance (15.7%); and (3) Real Estate and Rental and Leasing (8.8%), totaling an aggregate of approximately 61.7%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Portfolio Company Investment portfolio. For a full summary of our investment portfolio by industry, see “Item 1—Financial Statements—</w:t>
      </w: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Structured Finance Securities</w:t>
      </w:r>
    </w:p>
    <w:p>
      <w:pPr>
        <w:spacing w:after="0" w:line="121"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composition of our Structured Finance Securities as of March 31, 2026 and December 31, 2025 (dollar amounts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4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8"/>
        </w:trPr>
        <w:tc>
          <w:tcPr>
            <w:tcW w:w="4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64,827</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42,259</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68,670</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53,531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Mezzanine debt</w:t>
            </w: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8,965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6,385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8,963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8,074</w:t>
            </w:r>
          </w:p>
        </w:tc>
      </w:tr>
      <w:tr>
        <w:trPr>
          <w:trHeight w:val="24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Structured Finance Securities</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73,793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48,644</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77,633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61,605</w:t>
            </w:r>
          </w:p>
        </w:tc>
      </w:tr>
      <w:tr>
        <w:trPr>
          <w:trHeight w:val="215"/>
        </w:trPr>
        <w:tc>
          <w:tcPr>
            <w:tcW w:w="4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Number of Structured Finance Securities</w:t>
            </w:r>
          </w:p>
        </w:tc>
        <w:tc>
          <w:tcPr>
            <w:tcW w:w="14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-173990</wp:posOffset>
            </wp:positionV>
            <wp:extent cx="857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-156845</wp:posOffset>
            </wp:positionV>
            <wp:extent cx="857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-173990</wp:posOffset>
            </wp:positionV>
            <wp:extent cx="857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-156845</wp:posOffset>
            </wp:positionV>
            <wp:extent cx="857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-173990</wp:posOffset>
            </wp:positionV>
            <wp:extent cx="857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-156845</wp:posOffset>
            </wp:positionV>
            <wp:extent cx="857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65" w:lineRule="exact"/>
        <w:rPr>
          <w:sz w:val="20"/>
          <w:szCs w:val="20"/>
          <w:color w:val="auto"/>
        </w:rPr>
      </w:pPr>
    </w:p>
    <w:p>
      <w:pPr>
        <w:jc w:val="both"/>
        <w:ind w:right="400" w:firstLine="749"/>
        <w:spacing w:after="0" w:line="266" w:lineRule="auto"/>
        <w:rPr>
          <w:sz w:val="20"/>
          <w:szCs w:val="20"/>
          <w:color w:val="auto"/>
        </w:rPr>
      </w:pPr>
      <w:r>
        <w:rPr>
          <w:rFonts w:ascii="Times New Roman" w:cs="Times New Roman" w:eastAsia="Times New Roman" w:hAnsi="Times New Roman"/>
          <w:sz w:val="18"/>
          <w:szCs w:val="18"/>
          <w:color w:val="auto"/>
        </w:rPr>
        <w:t>Non-performing Structured Finance Securities are securities that have not been optionally redeemed and have an effective yield of 0.0%, as remaining residual distributions are anticipated to be recognized as a return of capital. As of March 31, 2026, the amortized cost and fair value of non-performing Structured Finance Securities were $2.3 million and $0.1 million, respectively.</w:t>
      </w:r>
    </w:p>
    <w:p>
      <w:pPr>
        <w:spacing w:after="0" w:line="68"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sold a subordinated note investment for net proceeds of $2.6 million, resulting in a realized loss of $1.2 million, of which $0.9 million was recognized during the current quarter.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left="760"/>
        <w:spacing w:after="0"/>
        <w:rPr>
          <w:sz w:val="20"/>
          <w:szCs w:val="20"/>
          <w:color w:val="auto"/>
        </w:rPr>
      </w:pPr>
      <w:r>
        <w:rPr>
          <w:rFonts w:ascii="Times New Roman" w:cs="Times New Roman" w:eastAsia="Times New Roman" w:hAnsi="Times New Roman"/>
          <w:sz w:val="18"/>
          <w:szCs w:val="18"/>
          <w:b w:val="1"/>
          <w:bCs w:val="1"/>
          <w:color w:val="auto"/>
        </w:rPr>
        <w:t>Investment Activity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summary of our investment activity for the three months ended March 31, 2026 and 2025 (dollar amounts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09"/>
        </w:trPr>
        <w:tc>
          <w:tcPr>
            <w:tcW w:w="5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debt and equity securities</w:t>
            </w:r>
          </w:p>
        </w:tc>
        <w:tc>
          <w:tcPr>
            <w:tcW w:w="1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2,109</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4,635</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Structured Finance Securities</w:t>
            </w:r>
          </w:p>
        </w:tc>
        <w:tc>
          <w:tcPr>
            <w:tcW w:w="1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5,776</w:t>
            </w:r>
          </w:p>
        </w:tc>
      </w:tr>
      <w:tr>
        <w:trPr>
          <w:trHeight w:val="24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purchases and originations</w:t>
            </w:r>
          </w:p>
        </w:tc>
        <w:tc>
          <w:tcPr>
            <w:tcW w:w="1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2,109</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10,411</w:t>
            </w:r>
          </w:p>
        </w:tc>
      </w:tr>
      <w:tr>
        <w:trPr>
          <w:trHeight w:val="41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principal payments</w:t>
            </w: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8,996</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3,290</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investments sold or redeemed</w:t>
            </w: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14,056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3,137</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distributions received from portfolio investments</w:t>
            </w:r>
          </w:p>
        </w:tc>
        <w:tc>
          <w:tcPr>
            <w:tcW w:w="1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2,478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3,504</w:t>
            </w:r>
          </w:p>
        </w:tc>
      </w:tr>
      <w:tr>
        <w:trPr>
          <w:trHeight w:val="156"/>
        </w:trPr>
        <w:tc>
          <w:tcPr>
            <w:tcW w:w="58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auto"/>
              </w:rPr>
              <w:t>Total proceeds from principal payments, sales or redemptions, and distributions</w:t>
            </w:r>
          </w:p>
        </w:tc>
        <w:tc>
          <w:tcPr>
            <w:tcW w:w="1440" w:type="dxa"/>
            <w:vAlign w:val="bottom"/>
            <w:gridSpan w:val="2"/>
            <w:shd w:val="clear" w:color="auto" w:fill="CFF0FC"/>
          </w:tcPr>
          <w:p>
            <w:pPr>
              <w:jc w:val="right"/>
              <w:ind w:right="670"/>
              <w:spacing w:after="0" w:line="156" w:lineRule="exact"/>
              <w:rPr>
                <w:sz w:val="20"/>
                <w:szCs w:val="20"/>
                <w:color w:val="auto"/>
              </w:rPr>
            </w:pPr>
            <w:r>
              <w:rPr>
                <w:rFonts w:ascii="Times New Roman" w:cs="Times New Roman" w:eastAsia="Times New Roman" w:hAnsi="Times New Roman"/>
                <w:sz w:val="18"/>
                <w:szCs w:val="18"/>
                <w:color w:val="auto"/>
              </w:rPr>
              <w:t>received</w:t>
            </w:r>
          </w:p>
        </w:tc>
        <w:tc>
          <w:tcPr>
            <w:tcW w:w="1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r>
      <w:tr>
        <w:trPr>
          <w:trHeight w:val="26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from portfolio investments</w:t>
            </w:r>
          </w:p>
        </w:tc>
        <w:tc>
          <w:tcPr>
            <w:tcW w:w="12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25,530</w:t>
            </w:r>
          </w:p>
        </w:tc>
        <w:tc>
          <w:tcPr>
            <w:tcW w:w="1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-856615</wp:posOffset>
            </wp:positionV>
            <wp:extent cx="1200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-839470</wp:posOffset>
            </wp:positionV>
            <wp:extent cx="1200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1200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12001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Non-Cash Investment Activity</w:t>
      </w:r>
    </w:p>
    <w:p>
      <w:pPr>
        <w:spacing w:after="0" w:line="11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our first lien debt investment in Redstone HoldCo 2 LP (F/K/A RSA Security) underwent a restructuring through which our first lien debt investment was exchanged for a combination of new first lien debt investments in the portfolio company at a price equal to 63% of par. In connection with the transaction, we recognized a realized loss of $0.6 million on the debt restructure corresponding to the amount forgiven upon the exchange, of which $0.2 million was recognized in the current quarter. As of March 31, 2026, our new first lien debt investments had an aggregate amortized cost of and fair value of $1.1 million and $1.0 million, respectively.</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Risk Monitoring</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We categorize debt investments into seven risk categories based on relevant information about the ability of borrowers to service their debt. For additional information regarding our risk categories, see “Item 1. Business—Portfolio Review/Risk Monitoring” in our Annual Report on Form 10-K for the year ended December 31, 2025, filed on March 3, 2026. The following table shows the classification of our debt investments, excluding Structured Finance Securities, by credit risk rating as of March 31, 2026 and December 31, 2025 (dollar amounts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Debt Investments as of</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10"/>
        </w:trPr>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0" w:type="dxa"/>
            <w:vAlign w:val="bottom"/>
            <w:tcBorders>
              <w:bottom w:val="single" w:sz="8" w:color="auto"/>
            </w:tcBorders>
          </w:tcPr>
          <w:p>
            <w:pPr>
              <w:spacing w:after="0"/>
              <w:rPr>
                <w:sz w:val="18"/>
                <w:szCs w:val="18"/>
                <w:color w:val="auto"/>
              </w:rPr>
            </w:pPr>
          </w:p>
        </w:tc>
      </w:tr>
      <w:tr>
        <w:trPr>
          <w:trHeight w:val="187"/>
        </w:trPr>
        <w:tc>
          <w:tcPr>
            <w:tcW w:w="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Debt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 of Debt</w:t>
            </w:r>
          </w:p>
        </w:tc>
      </w:tr>
      <w:tr>
        <w:trPr>
          <w:trHeight w:val="216"/>
        </w:trPr>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Investments,</w:t>
            </w:r>
          </w:p>
        </w:tc>
      </w:tr>
      <w:tr>
        <w:trPr>
          <w:trHeight w:val="216"/>
        </w:trPr>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at 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at Fair</w:t>
            </w:r>
          </w:p>
        </w:tc>
      </w:tr>
      <w:tr>
        <w:trPr>
          <w:trHeight w:val="238"/>
        </w:trPr>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Risk Category</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w:t>
            </w: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(Low Risk)</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(Below Average Risk)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w:t>
            </w: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125,853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121,479</w:t>
            </w: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77.6 %</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131,812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128,363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71.4 %</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Mention)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26,313</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16"/>
        </w:trPr>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w:t>
            </w: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(Substandard)</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15,612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8,790</w:t>
            </w: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14,113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(Doubtful)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7</w:t>
            </w:r>
          </w:p>
        </w:tc>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189,693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156,582</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213,160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179,814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-1079500</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-1079500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-1079500</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-1079500</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-1079500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ind w:left="760"/>
        <w:spacing w:after="0"/>
        <w:rPr>
          <w:sz w:val="20"/>
          <w:szCs w:val="20"/>
          <w:color w:val="auto"/>
        </w:rPr>
      </w:pPr>
      <w:r>
        <w:rPr>
          <w:rFonts w:ascii="Times New Roman" w:cs="Times New Roman" w:eastAsia="Times New Roman" w:hAnsi="Times New Roman"/>
          <w:sz w:val="18"/>
          <w:szCs w:val="18"/>
          <w:b w:val="1"/>
          <w:bCs w:val="1"/>
          <w:color w:val="auto"/>
        </w:rPr>
        <w:t>Non-Accrual Loans</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Management reviews, for placement on non-accrual status, all loans and CLO mezzanine debt investments that become past due on principal and interest, and/or when there is reasonable doubt that principal or interest will be collected. When a loan is placed on non-accrual status, accrued and unpaid cash interest is reversed.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appreciation/depreciation, as applicable. Additionally, Net Loan Fees are no longer recognized as of the date the loan is placed on non-accrual status. Depending upon management’s judgment, interest payments subsequently received on non-accrual investments may be recognized as interest income or applied as a reduction to amortized cost. Interest accruals and Net Loan Fee amortization are resumed on non-accrual investments only when they are brought current with respect to principal and interest payments or until a restructuring occurs and, in the judgment of management, it is probable that we will collect all principal and interest from the investment.</w:t>
      </w:r>
    </w:p>
    <w:p>
      <w:pPr>
        <w:spacing w:after="0" w:line="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As of March 31, 2026</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the classification of our debt investments on non-accrual status (dollar amounts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10"/>
        </w:trPr>
        <w:tc>
          <w:tcPr>
            <w:tcW w:w="4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w:t>
            </w:r>
          </w:p>
        </w:tc>
        <w:tc>
          <w:tcPr>
            <w:tcW w:w="3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15,811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9,059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w:t>
            </w:r>
          </w:p>
        </w:tc>
        <w:tc>
          <w:tcPr>
            <w:tcW w:w="3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15,657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1,838</w:t>
            </w: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31,468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10,897</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our first lien debt investment in JP Intermediate B, LLC with an amortized cost and fair value of $1.5 million and $1.0 million, respectively, was placed on non-accrual status.</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received net proceeds of $2.3 million for the partial recovery of a second lien debt investment, with an amortized cost and fair value of $6.6 million and $2.4 million, respectively, that was previously on non-accrual status, resulting in a realized loss of $4.3 million.</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As of December 31, 2025</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the classification of our debt investments on non-accrual status (dollar amounts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4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debt</w:t>
            </w:r>
          </w:p>
        </w:tc>
        <w:tc>
          <w:tcPr>
            <w:tcW w:w="3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14,326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7,491</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w:t>
            </w:r>
          </w:p>
        </w:tc>
        <w:tc>
          <w:tcPr>
            <w:tcW w:w="3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22,241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6,909</w:t>
            </w: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36,567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14,400</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For the three months ended December 31, 2025, our second lien debt investment in Excelin Home Health, LLC with an amortized cost and fair value of $6.8 million and $4.1 million, respectively, was placed on non-accrual status. Additionally, we restructured our first lien debt investment in SSJA Bariatric Management LLC with an amortized cost and fair value of $13.5 million and $5.3 million, respectively, which had been on non-accrual status, in exchange for a combination of a new loan and equity in the portfolio company. Our existing zero-basis equity investment in the portfolio company was also extinguished upon the exchange. Following the restructuring, the loan we received with an amortized cost and fair value of $3.8 million and $3.8 million, respectively, was placed on accrual status.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key financial measures are described in “Item 7. Management’s Discussion and Analysis of Financial Condition and Results of Operations— Results of Operations—Key Financial Measures” in our Annual Report on Form 10-K for the year ended December 31, 2025, filed on March 3, 2026. The following is a discussion of the key financial measures that management employs in reviewing the performance of our operations.</w:t>
      </w:r>
    </w:p>
    <w:p>
      <w:pPr>
        <w:spacing w:after="0" w:line="6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do not believe that our historical operating performance is necessarily indicative of our future results of operations. We are primarily focused on debt investments in middle-market and larger companies in the United States and, to a lesser extent, equity investments, including warrants and other minority equity securities, and Structured Finance Securities. Moreover, as a BDC and a RIC, we are also subject to certain constraints on our operations, including, but not limited to, limitations imposed by the 1940 Act and the Code. For the reasons described above, the results of operations described below may not necessarily be indicative of the results we expect to report in future periods.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both"/>
        <w:ind w:right="380" w:firstLine="749"/>
        <w:spacing w:after="0" w:line="266" w:lineRule="auto"/>
        <w:rPr>
          <w:sz w:val="20"/>
          <w:szCs w:val="20"/>
          <w:color w:val="auto"/>
        </w:rPr>
      </w:pPr>
      <w:r>
        <w:rPr>
          <w:rFonts w:ascii="Times New Roman" w:cs="Times New Roman" w:eastAsia="Times New Roman" w:hAnsi="Times New Roman"/>
          <w:sz w:val="18"/>
          <w:szCs w:val="18"/>
          <w:color w:val="auto"/>
        </w:rPr>
        <w:t>Net increase (decrease) in net assets resulting from operations can vary substantially from period to period for various reasons, including the recognition of realized gains and losses and unrealized appreciation and depreciation. As a result, annual comparisons of net increase (decrease) in net assets resulting from operations may not be meaningful.</w:t>
      </w:r>
    </w:p>
    <w:p>
      <w:pPr>
        <w:spacing w:after="0" w:line="6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following analysis compares our quarterly results of operations to the preceding quarter, as well as our year-to-date results of operations to the corresponding period in the prior year. We believe a comparison of our current quarterly results to the preceding quarter is more meaningful and transparent than a comparison to the corresponding prior-year quarter as our results of operations are not influenced by seasonal factors that the latter comparison is designed to elicit and highlight.</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December 31, 2025 and comparison of the three months ended March 31,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 2025</w:t>
      </w:r>
    </w:p>
    <w:p>
      <w:pPr>
        <w:spacing w:after="0" w:line="99" w:lineRule="exact"/>
        <w:rPr>
          <w:sz w:val="20"/>
          <w:szCs w:val="20"/>
          <w:color w:val="auto"/>
        </w:rPr>
      </w:pPr>
    </w:p>
    <w:p>
      <w:pPr>
        <w:ind w:right="840" w:firstLine="749"/>
        <w:spacing w:after="0" w:line="282" w:lineRule="auto"/>
        <w:rPr>
          <w:sz w:val="20"/>
          <w:szCs w:val="20"/>
          <w:color w:val="auto"/>
        </w:rPr>
      </w:pPr>
      <w:r>
        <w:rPr>
          <w:rFonts w:ascii="Times New Roman" w:cs="Times New Roman" w:eastAsia="Times New Roman" w:hAnsi="Times New Roman"/>
          <w:sz w:val="18"/>
          <w:szCs w:val="18"/>
          <w:color w:val="auto"/>
        </w:rPr>
        <w:t>Consolidated operating results for the three months ended March 31, 2026, December 31, 2025 and March 31, 2025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500" w:type="dxa"/>
            <w:vAlign w:val="bottom"/>
          </w:tcPr>
          <w:p>
            <w:pPr>
              <w:spacing w:after="0"/>
              <w:rPr>
                <w:sz w:val="20"/>
                <w:szCs w:val="20"/>
                <w:color w:val="auto"/>
              </w:rPr>
            </w:pP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4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interest income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PIK interest income</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Loan Fee amortization</w:t>
            </w: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Accretion of interest income on CLO subordinated notes</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Pr>
          <w:p>
            <w:pPr>
              <w:spacing w:after="0"/>
              <w:rPr>
                <w:sz w:val="18"/>
                <w:szCs w:val="18"/>
                <w:color w:val="auto"/>
              </w:rPr>
            </w:pPr>
          </w:p>
        </w:tc>
      </w:tr>
      <w:tr>
        <w:trPr>
          <w:trHeight w:val="216"/>
        </w:trPr>
        <w:tc>
          <w:tcPr>
            <w:tcW w:w="6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interest income</w:t>
            </w: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dividends</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16"/>
        </w:trPr>
        <w:tc>
          <w:tcPr>
            <w:tcW w:w="6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PIK dividends</w:t>
            </w: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dividend income</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Fee income:</w:t>
            </w: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Syndication fees</w:t>
            </w:r>
          </w:p>
        </w:tc>
        <w:tc>
          <w:tcPr>
            <w:tcW w:w="4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Prepayment and other fees</w:t>
            </w: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fee income</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10"/>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expenses, net of base management fee waiver</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00" w:type="dxa"/>
            <w:vAlign w:val="bottom"/>
          </w:tcPr>
          <w:p>
            <w:pPr>
              <w:spacing w:after="0"/>
              <w:rPr>
                <w:sz w:val="18"/>
                <w:szCs w:val="18"/>
                <w:color w:val="auto"/>
              </w:rPr>
            </w:pPr>
          </w:p>
        </w:tc>
      </w:tr>
      <w:tr>
        <w:trPr>
          <w:trHeight w:val="210"/>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on investments</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(13,532)</w:t>
            </w:r>
          </w:p>
        </w:tc>
        <w:tc>
          <w:tcPr>
            <w:tcW w:w="4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(10,752)</w:t>
            </w:r>
          </w:p>
        </w:tc>
      </w:tr>
      <w:tr>
        <w:trPr>
          <w:trHeight w:val="20"/>
        </w:trPr>
        <w:tc>
          <w:tcPr>
            <w:tcW w:w="6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net assets resulting from operations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(11,588)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(10,848)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(7,287)</w:t>
            </w:r>
          </w:p>
        </w:tc>
      </w:tr>
      <w:tr>
        <w:trPr>
          <w:trHeight w:val="20"/>
        </w:trPr>
        <w:tc>
          <w:tcPr>
            <w:tcW w:w="6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-2159635</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-2159635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-1602740</wp:posOffset>
            </wp:positionV>
            <wp:extent cx="7747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-1602740</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-1045210</wp:posOffset>
            </wp:positionV>
            <wp:extent cx="774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-1045210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-753745</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-753745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-462280</wp:posOffset>
            </wp:positionV>
            <wp:extent cx="774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-462280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774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2026 and December 31, 2025</w:t>
      </w:r>
    </w:p>
    <w:p>
      <w:pPr>
        <w:spacing w:after="0" w:line="11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total investment income decreased from $9.4 million in the prior quarter to $8.9 million, primarily due to a decrease in interest income, partially offset by an increase in non-recurring dividend income.</w:t>
      </w:r>
    </w:p>
    <w:p>
      <w:pPr>
        <w:spacing w:after="0" w:line="54"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interest income decreased by $1.3 million compared to the prior quarter, primarily due to a smaller average debt investment portfolio, at cost, the impact of lower SOFR rates driven by the U.S. Federal Reserve rate cuts, and a decrease in the effective yields on our Structured Finance Securities.</w:t>
      </w:r>
    </w:p>
    <w:p>
      <w:pPr>
        <w:spacing w:after="0" w:line="68"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dividend income increased by $0.9 million compared to the prior quarter, primarily due to a non-recurring cash dividend of $0.9 million from our common equity investment in Pfanstiehl Holdings, Inc.</w:t>
      </w:r>
    </w:p>
    <w:p>
      <w:pPr>
        <w:spacing w:after="0" w:line="54"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Fee income is primarily comprised of unused fees, prepayment fees and syndication fees that generally result from periodic transactions rather than from holding portfolio investments, and are considered non-recurring. We receive syndication fees on investments where OFS Advisor sources, structures and arranges the lending group.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left="76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2026 and 2025</w:t>
      </w:r>
    </w:p>
    <w:p>
      <w:pPr>
        <w:spacing w:after="0" w:line="119"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Total investment income for the three months ended March 31, 2026 decreased $1.4 million compared to the corresponding period in the prior year, primarily due to a decrease in total interest income of $2.4 million, partially offset by an increase in total dividend income of $1.0 million.</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Operating expenses for the three months ended March 31, 2026, December 31, 2025 and March 31, 2025 are presented below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8"/>
                <w:szCs w:val="18"/>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Incentive Fee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Administration fee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r>
      <w:tr>
        <w:trPr>
          <w:trHeight w:val="210"/>
        </w:trPr>
        <w:tc>
          <w:tcPr>
            <w:tcW w:w="5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expenses before base management fee waiver</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 waiver</w:t>
            </w:r>
          </w:p>
        </w:tc>
        <w:tc>
          <w:tcPr>
            <w:tcW w:w="14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expenses, net of base management fee waiver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00" w:type="dxa"/>
            <w:vAlign w:val="bottom"/>
            <w:shd w:val="clear" w:color="auto" w:fill="CFF0FC"/>
          </w:tcPr>
          <w:p>
            <w:pPr>
              <w:spacing w:after="0"/>
              <w:rPr>
                <w:sz w:val="19"/>
                <w:szCs w:val="19"/>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-25400</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2026 and December 31, 2025</w:t>
      </w:r>
    </w:p>
    <w:p>
      <w:pPr>
        <w:spacing w:after="0" w:line="11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Interest expense for the three months ended March 31, 2026 decreased $0.4 million compared to the prior quarter, primarily due to a decrease of $24.5 million in our average outstanding debt balances compared to the prior quarter. During the quarter ended March 31, 2026, we fully repaid the remaining $16.0 million of Unsecured Notes Due February 2026 and reduced the aggregate outstanding balance of our revolving credit facilities by $2.0 million.</w:t>
      </w:r>
    </w:p>
    <w:p>
      <w:pPr>
        <w:spacing w:after="0" w:line="72"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Income Incentive Fees for the three months ended March 31, 2026 increased $0.4 million compared to the prior quarter, primarily due to an increase in our net investment income return on net assets in the current quarter.</w:t>
      </w:r>
    </w:p>
    <w:p>
      <w:pPr>
        <w:spacing w:after="0" w:line="54"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base management fee waiver of $0.2 million was due to OFS Advisor agreeing to waive its base management fee attributable to all of the OFSCC-FS Assets to 0.25% per quarter (1.00% annualized) of the average value of the OFSCC-FS Assets (other than cash and cash equivalents, but including assets purchased with borrowed amounts) at the end of the two most recently completed calendar quarters.</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2026 and 2025</w:t>
      </w:r>
    </w:p>
    <w:p>
      <w:pPr>
        <w:spacing w:after="0" w:line="11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Total expenses, net of the base management fee waiver, for the three months ended March 31, 2026 decreased $0.4 million compared to the corresponding period in the prior year.</w:t>
      </w:r>
    </w:p>
    <w:p>
      <w:pPr>
        <w:spacing w:after="0" w:line="54"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Base management fees, net of the fee waiver, for the three months ended March 31, 2026 decreased $0.3 million compared to the corresponding period in the prior year, primarily due to a decrease in our total investment portfolio, at fair value.</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Net realized and unrealized gain (loss) on investments</w:t>
      </w:r>
    </w:p>
    <w:p>
      <w:pPr>
        <w:spacing w:after="0" w:line="12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Net loss on investments, inclusive of realized and unrealized gains (losses), and net of current and deferred income taxes, by investment type for the three months ended March 31, 2026, December 31, 2025 and March 31, 2025 were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(5,122)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(8,128)</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(6,696)</w:t>
            </w:r>
          </w:p>
        </w:tc>
        <w:tc>
          <w:tcPr>
            <w:tcW w:w="1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w:t>
            </w: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(10,344)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(3,436)</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(1,526)</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Current/deferred income tax (expense) benefit</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loss on investments</w:t>
            </w:r>
          </w:p>
        </w:tc>
        <w:tc>
          <w:tcPr>
            <w:tcW w:w="16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(13,922)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(13,531)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(10,752)</w:t>
            </w:r>
          </w:p>
        </w:tc>
      </w:tr>
      <w:tr>
        <w:trPr>
          <w:trHeight w:val="628"/>
        </w:trPr>
        <w:tc>
          <w:tcPr>
            <w:tcW w:w="4440" w:type="dxa"/>
            <w:vAlign w:val="bottom"/>
            <w:tcBorders>
              <w:top w:val="single" w:sz="8" w:color="CFF0FC"/>
            </w:tcBorders>
          </w:tcPr>
          <w:p>
            <w:pPr>
              <w:spacing w:after="0"/>
              <w:rPr>
                <w:sz w:val="24"/>
                <w:szCs w:val="24"/>
                <w:color w:val="auto"/>
              </w:rPr>
            </w:pPr>
          </w:p>
        </w:tc>
        <w:tc>
          <w:tcPr>
            <w:tcW w:w="1620" w:type="dxa"/>
            <w:vAlign w:val="bottom"/>
            <w:tcBorders>
              <w:top w:val="single" w:sz="8" w:color="CFF0FC"/>
            </w:tcBorders>
          </w:tcPr>
          <w:p>
            <w:pPr>
              <w:jc w:val="right"/>
              <w:ind w:right="25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-933450</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-916305</wp:posOffset>
            </wp:positionV>
            <wp:extent cx="768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-933450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-916305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6" w:name="page57"/>
    <w:bookmarkEnd w:id="56"/>
    <w:p>
      <w:pPr>
        <w:ind w:left="760" w:right="2080"/>
        <w:spacing w:after="0" w:line="375" w:lineRule="auto"/>
        <w:rPr>
          <w:sz w:val="20"/>
          <w:szCs w:val="20"/>
          <w:color w:val="auto"/>
        </w:rPr>
      </w:pPr>
      <w:r>
        <w:rPr>
          <w:rFonts w:ascii="Times New Roman" w:cs="Times New Roman" w:eastAsia="Times New Roman" w:hAnsi="Times New Roman"/>
          <w:sz w:val="18"/>
          <w:szCs w:val="18"/>
          <w:u w:val="single" w:color="auto"/>
          <w:color w:val="auto"/>
        </w:rPr>
        <w:t xml:space="preserve">Net gain (loss) on investments for the three months ended March 31, 2026, December 31, 2025 and March 31, 2025 </w:t>
      </w:r>
      <w:r>
        <w:rPr>
          <w:rFonts w:ascii="Times New Roman" w:cs="Times New Roman" w:eastAsia="Times New Roman" w:hAnsi="Times New Roman"/>
          <w:sz w:val="18"/>
          <w:szCs w:val="18"/>
          <w:i w:val="1"/>
          <w:iCs w:val="1"/>
          <w:color w:val="auto"/>
        </w:rPr>
        <w:t>Three months ended March 31, 2026</w:t>
      </w:r>
    </w:p>
    <w:p>
      <w:pPr>
        <w:spacing w:after="0" w:line="1"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recognized a net loss on investments of $13.9 million due to a net realized loss of $11.3 million and net unrealized depreciation, net of taxes, of $2.6 million. For the quarter ended March 31, 2026, our net realized and unrealized loss on investments of $13.9 million was primarily attributable to $10.3 million of net realized and unrealized losses on our Structured Finance Securities.</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Three months ended December 31, 2025</w:t>
      </w:r>
    </w:p>
    <w:p>
      <w:pPr>
        <w:spacing w:after="0" w:line="119" w:lineRule="exact"/>
        <w:rPr>
          <w:sz w:val="20"/>
          <w:szCs w:val="20"/>
          <w:color w:val="auto"/>
        </w:rPr>
      </w:pPr>
    </w:p>
    <w:p>
      <w:pPr>
        <w:ind w:right="820"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2025, our portfolio experienced net losses of $13.5 million, primarily due to net unrealized depreciation of $8.3 million on our current non-accrual debt investments and $3.4 million on our Structured Finance Securities.</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Three months ended March 31, 2025</w:t>
      </w:r>
    </w:p>
    <w:p>
      <w:pPr>
        <w:spacing w:after="0" w:line="11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we recognized a net loss on investments of $10.8 million, primarily comprised of aggregate net losses of $9.3 million on our debt and equity investments and $1.5 million on our Structured Finance Securities.</w:t>
      </w:r>
    </w:p>
    <w:p>
      <w:pPr>
        <w:spacing w:after="0" w:line="54"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our net loss on debt investments of $8.1 million was primarily due to net unrealized depreciation of $7.3 million, of which $3.9 million related to non-accrual debt investments.</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Three months ended March 31, 2026</w:t>
      </w:r>
    </w:p>
    <w:p>
      <w:pPr>
        <w:spacing w:after="0" w:line="119"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f</w:t>
      </w:r>
      <w:r>
        <w:rPr>
          <w:rFonts w:ascii="Times New Roman" w:cs="Times New Roman" w:eastAsia="Times New Roman" w:hAnsi="Times New Roman"/>
          <w:sz w:val="17"/>
          <w:szCs w:val="17"/>
          <w:color w:val="auto"/>
        </w:rPr>
        <w:t>ully repaid and terminated</w:t>
      </w:r>
      <w:r>
        <w:rPr>
          <w:rFonts w:ascii="Times New Roman" w:cs="Times New Roman" w:eastAsia="Times New Roman" w:hAnsi="Times New Roman"/>
          <w:sz w:val="18"/>
          <w:szCs w:val="18"/>
          <w:color w:val="auto"/>
        </w:rPr>
        <w:t xml:space="preserve"> the BNP Facility, and, as a result, we recognized a loss on extinguishment of debt of $0.1 million related to the acceleration of deferred financing costs.</w:t>
      </w:r>
    </w:p>
    <w:p>
      <w:pPr>
        <w:spacing w:after="0" w:line="5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amended the Banc of California Credit Facility to, among other things, reduce the maximum facility amount from $25.0 million to $15.0 million, and, as a result, we recognized a loss on extinguishment of debt of $41,617 related to the acceleration of deferred financing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2026, we held cash and cash equivalents of $3.3 million, which included $2.6 million held by OFSCC-FS. Distributions from OFSCC-FS to the Parent are restricted by the terms and conditions of the Natixis Facility. During the three months ended March 31, 2026, the Parent received $2.8 million in cash distributions from OFSCC-FS.</w:t>
      </w:r>
    </w:p>
    <w:p>
      <w:pPr>
        <w:spacing w:after="0" w:line="6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On February 18, 2026, OFSCC-FS entered into the Natixis Facility, which provides for borrowings in an aggregate principal amount up to $80.0 million. See “Borrowings—Natixis Facility” for additional information.</w:t>
      </w:r>
    </w:p>
    <w:p>
      <w:pPr>
        <w:spacing w:after="0" w:line="54"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On February 18, 2026, in connection with the closing of the Natixis Facility, OFSCC-FS repaid in full all outstanding obligations due, and terminated all commitments, under the BNP Facility. All liens securing the BNP Facility were released upon such repayment.</w:t>
      </w:r>
    </w:p>
    <w:p>
      <w:pPr>
        <w:spacing w:after="0" w:line="54"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we had an unused commitment of $6.3 million under our Banc of California Credit Facility, as well as an unused commitment of $35.3 million under our Natixis Facility, both of which are subject to borrowing base requirements and other covenants.</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2026, we had unfunded commitments of $7.8 million to fund outstanding commitments to portfolio companies.</w:t>
      </w:r>
    </w:p>
    <w:p>
      <w:pPr>
        <w:spacing w:after="0" w:line="11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As of March 31, 2026, the aggregate amount outstanding of the senior securities issued by us was $202.5 million, for which our asset coverage was 154%, exceeding our minimum asset coverage requirement of 150% under the 1940 Act.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57" w:name="page58"/>
    <w:bookmarkEnd w:id="57"/>
    <w:p>
      <w:pPr>
        <w:ind w:left="760"/>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generate operating cash flows from net investment income and the net proceeds from the liquidation of portfolio investments, and use cash in our operations in the net purchase of portfolio investments and payment of expenses. Significant variations may exist between net investment income and cash from net investment income, primarily due to the recognition of non-cash investment income, including certain Net Loan Fee amortization, PIK interest and PIK dividends, which generally will not be fully realized in cash until we exit the investment, as well as accreted interest income on Structured Finance Securities, which may not coincide with cash distributions from these investments. As discussed in “Item 1.—Financial Statements—Note 3,” we pay OFS Advisor a quarterly incentive fee with respect to our pre-incentive fee net investment income, which may include investment income that we have not received in cash. In addition, we must distribute substantially all of our taxable income, which approximates, but will not always equal, the cash we generate from net investment income to maintain our RIC tax treatment. We also obtain cash to fund investments or general corporate activities from the issuance of securities and our revolving lines of credit. These principal sources and uses of cash and liquidity are presented below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348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77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7760" w:type="dxa"/>
            <w:vAlign w:val="bottom"/>
            <w:tcBorders>
              <w:right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Cash from net investment income</w:t>
            </w:r>
            <w:r>
              <w:rPr>
                <w:rFonts w:ascii="Times New Roman" w:cs="Times New Roman" w:eastAsia="Times New Roman" w:hAnsi="Times New Roman"/>
                <w:sz w:val="24"/>
                <w:szCs w:val="24"/>
                <w:color w:val="auto"/>
                <w:vertAlign w:val="superscript"/>
              </w:rPr>
              <w:t>(1)</w:t>
            </w:r>
          </w:p>
        </w:tc>
        <w:tc>
          <w:tcPr>
            <w:tcW w:w="96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Net repayments and sales of portfolio investments</w:t>
            </w:r>
            <w:r>
              <w:rPr>
                <w:rFonts w:ascii="Times New Roman" w:cs="Times New Roman" w:eastAsia="Times New Roman" w:hAnsi="Times New Roman"/>
                <w:sz w:val="24"/>
                <w:szCs w:val="24"/>
                <w:color w:val="auto"/>
                <w:vertAlign w:val="superscript"/>
              </w:rPr>
              <w:t>(1)</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8"/>
                <w:szCs w:val="18"/>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Distributions paid to stockholders</w:t>
            </w:r>
            <w:r>
              <w:rPr>
                <w:rFonts w:ascii="Times New Roman" w:cs="Times New Roman" w:eastAsia="Times New Roman" w:hAnsi="Times New Roman"/>
                <w:sz w:val="24"/>
                <w:szCs w:val="24"/>
                <w:color w:val="auto"/>
                <w:vertAlign w:val="superscript"/>
              </w:rPr>
              <w:t>(2)</w:t>
            </w: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(2,278)</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(4,555)</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repayments under revolving lines of credit</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 of Unsecured Notes</w:t>
            </w: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(21,872)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(4,855)</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(2,014)</w:t>
            </w:r>
          </w:p>
        </w:tc>
      </w:tr>
      <w:tr>
        <w:trPr>
          <w:trHeight w:val="20"/>
        </w:trPr>
        <w:tc>
          <w:tcPr>
            <w:tcW w:w="7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380" w:right="20" w:hanging="372"/>
        <w:spacing w:after="0" w:line="258"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net investment income includes all other cash flows from operating activities reported in our statements of cash flows. Net purchases and originations/repayments and sales of portfolio investments includes the purchase and origination of portfolio investments, proceeds from principal payments on portfolio investments, proceeds from sale or redemption of portfolio investments, changes in receivable for investments sold, payable from investments purchased as reported in our statements of cash flows, as well as differences in proceeds from distributions received from Structured Finance Securities relative to accretion of interest income on Structured Finance Securities.</w:t>
      </w:r>
    </w:p>
    <w:p>
      <w:pPr>
        <w:spacing w:after="0" w:line="75" w:lineRule="exact"/>
        <w:rPr>
          <w:rFonts w:ascii="Times New Roman" w:cs="Times New Roman" w:eastAsia="Times New Roman" w:hAnsi="Times New Roman"/>
          <w:sz w:val="18"/>
          <w:szCs w:val="18"/>
          <w:color w:val="auto"/>
        </w:rPr>
      </w:pPr>
    </w:p>
    <w:p>
      <w:pPr>
        <w:ind w:left="380" w:right="160" w:hanging="372"/>
        <w:spacing w:after="0" w:line="26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tax attributes of our distributions is made annually as of the end of our fiscal year based upon our ICTI for the full year and distributions paid for the full year. Therefore, a determination made on a quarterly basis may not be representative of the actual tax attributes of our distributions for a full year.</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Net cash provided by operating activities</w:t>
      </w:r>
    </w:p>
    <w:p>
      <w:pPr>
        <w:spacing w:after="0" w:line="117"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from operating activities increased by $18.9 million compared to the three months ended March 31, 2025, primarily due to an increase of $19.0 million in net repayments and sales of portfolio investments, which were primarily used for the repayment of outstanding debt.</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Net cash used in financing activities</w:t>
      </w:r>
    </w:p>
    <w:p>
      <w:pPr>
        <w:spacing w:after="0" w:line="11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used in financing activities increased $17.0 million compared to the three months ended March 31, 2025, primarily due to the redemption of Unsecured Notes and net repayments on our revolving lines of credit, partially offset by a reduction in distributions paid to stockholders.</w:t>
      </w: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we had $202.5 million of outstanding debt with a weighted-average effective interest rate of 7.30%. As of March 31, 2026, approximately 96% of our outstanding debt matures in more than two years and 74% of our outstanding debt is unsecured.</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Banc of California Credit Facility</w:t>
      </w:r>
    </w:p>
    <w:p>
      <w:pPr>
        <w:spacing w:after="0" w:line="11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are party to the BLA with Banc of California, as lender, to provide us with a senior secured revolving credit facility, or the Banc of California Credit Facility, which is available for general corporate purposes including investment funding and is scheduled to mature on February 28, 2028. The Banc of California Credit Facility currently bears interest at a variable Prime Rate plus a 0.25% margin, with a 5.00% floor, and an annual commitment fee of 0.50% based on the maximum principal amount of the facility. As of March 31, 2026, the effective interest rate on the Banc of California Credit Facility was 7.89%. The maximum availability of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p>
      <w:pPr>
        <w:ind w:right="180"/>
        <w:spacing w:after="0" w:line="261" w:lineRule="auto"/>
        <w:rPr>
          <w:sz w:val="20"/>
          <w:szCs w:val="20"/>
          <w:color w:val="auto"/>
        </w:rPr>
      </w:pPr>
      <w:r>
        <w:rPr>
          <w:rFonts w:ascii="Times New Roman" w:cs="Times New Roman" w:eastAsia="Times New Roman" w:hAnsi="Times New Roman"/>
          <w:sz w:val="18"/>
          <w:szCs w:val="18"/>
          <w:color w:val="auto"/>
        </w:rPr>
        <w:t>Banc of California Credit Facility is equal to 50% of the aggregate outstanding principal amount of eligible loans included in the borrowing base, which typically excludes Structured Finance Securities, foreign loans, and non-performing loans, and as otherwise specified in the BLA. The Banc of California Credit Facility is guaranteed by OFSCC-MB and secured by all of our and OFSCC-MB’s current and future assets, excluding assets held by OFSCC-FS and our partnership interests in SBIC I LP.</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On January 9, 2026, we amended the Banc of California Credit Facility to extend the maturity date from February 28, 2026 to February 28, 2028.</w:t>
      </w:r>
    </w:p>
    <w:p>
      <w:pPr>
        <w:spacing w:after="0" w:line="1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On March 27, 2026, we amended the Banc of California Credit Facility to, among other things: (i) reduce the minimum tangible net asset value covenant from $100.0 million to $75.0 million; (ii) reduce the covenant requiring minimum quarterly net investment income after management/incentive fees from $2.0 million to $1.0 million for each of the quarters ending March 31, 2026, June 30, 2026 and September 30, 2026, after which the minimum quarterly net investment income after management/incentive fees covenant shall return to $2.0 million; and (iii) decrease our maximum commitment amount from $25.0 million to $15.0 million.</w:t>
      </w:r>
    </w:p>
    <w:p>
      <w:pPr>
        <w:spacing w:after="0" w:line="75" w:lineRule="exact"/>
        <w:rPr>
          <w:sz w:val="20"/>
          <w:szCs w:val="20"/>
          <w:color w:val="auto"/>
        </w:rPr>
      </w:pPr>
    </w:p>
    <w:p>
      <w:pPr>
        <w:ind w:right="260" w:firstLine="749"/>
        <w:spacing w:after="0" w:line="256" w:lineRule="auto"/>
        <w:rPr>
          <w:sz w:val="20"/>
          <w:szCs w:val="20"/>
          <w:color w:val="auto"/>
        </w:rPr>
      </w:pPr>
      <w:r>
        <w:rPr>
          <w:rFonts w:ascii="Times New Roman" w:cs="Times New Roman" w:eastAsia="Times New Roman" w:hAnsi="Times New Roman"/>
          <w:sz w:val="18"/>
          <w:szCs w:val="18"/>
          <w:color w:val="auto"/>
        </w:rPr>
        <w:t>The BLA contains customary terms and conditions, including, without limitation, affirmative and negative covenants, such as information reporting requirements, a minimum tangible net asset value, a minimum quarterly net investment income after incentive fees and a debt/worth ratio. The BLA also contains customary events of default, including, without limitation, nonpayment, misrepresentation of representations and warranties in a material respect, breach of covenant, cross-default to other indebtedness, bankruptcy, change in investment advisor, and the occurrence of a material adverse change in our financial condition. As of March 31, 2026, we were in compliance in all material respects with the applicable covenants under the Banc of California Credit Facility.</w:t>
      </w:r>
    </w:p>
    <w:p>
      <w:pPr>
        <w:spacing w:after="0" w:line="7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we had outstanding debt of $8.8 million and an unused commitment of $6.3 million under the Banc of California Credit Facility, subject to the terms of the borrowing base and other covenants.</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Unsecured Notes</w:t>
      </w:r>
    </w:p>
    <w:p>
      <w:pPr>
        <w:spacing w:after="0" w:line="11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we had $149.0 million and $165.0 million, respectively, in outstanding Unsecured Notes. The Unsecured Notes are direct unsecured obligations and rank equal in right of payment with all of our current and future unsecured indebtedness. Because the Unsecured Notes are not secured by any of our assets, they are effectively subordinated to all existing and future secured unsubordinated indebtedness (or any indebtedness that is initially unsecured as to which we subsequently grant a security interest), to the extent of the value of the assets securing such indebtedness, including, without limitation, borrowings under the Banc of California Credit Facility and Natixis Facility.</w:t>
      </w:r>
    </w:p>
    <w:p>
      <w:pPr>
        <w:spacing w:after="0" w:line="75"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In order to, among other things, reduce future cash interest payments, as well as future amounts due at maturity or upon redemption, we may, from time to time, purchase the Unsecured Notes for cash in open market purchases and/or privately negotiated transactions. We will evaluate any such transactions in light of then-existing market conditions, taking into account our current liquidity, prospects for future access to capital, contractual restrictions and other factors. The amounts involved in any such transactions, individually or in the aggregate, may be material. During the three months ended March 31, 2026, no outstanding Unsecured Notes were repurchased.</w:t>
      </w:r>
    </w:p>
    <w:p>
      <w:pPr>
        <w:spacing w:after="0" w:line="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Redemption of Unsecured Notes</w:t>
      </w:r>
    </w:p>
    <w:p>
      <w:pPr>
        <w:spacing w:after="0" w:line="119"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On January 8, 2026, we issued notices to the holders of the Unsecured Notes Due February 2026 regarding the exercise of our option to redeem on February 9, 2026 $16.0 million, which was equal to the remainder of the outstanding Unsecured Notes Due February 2026, plus accrued interest of $0.4 million.</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2026, the Unsecured Notes had the following terms and balances (dollar amounts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Stated</w:t>
            </w: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Optional</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96"/>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40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58"/>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Unsecured Notes</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0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80" w:type="dxa"/>
            <w:vAlign w:val="bottom"/>
          </w:tcPr>
          <w:p>
            <w:pPr>
              <w:spacing w:after="0"/>
              <w:rPr>
                <w:sz w:val="22"/>
                <w:szCs w:val="22"/>
                <w:color w:val="auto"/>
              </w:rPr>
            </w:pPr>
          </w:p>
        </w:tc>
        <w:tc>
          <w:tcPr>
            <w:tcW w:w="110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1"/>
              </w:rPr>
              <w:t>Rate</w:t>
            </w:r>
            <w:r>
              <w:rPr>
                <w:rFonts w:ascii="Times New Roman" w:cs="Times New Roman" w:eastAsia="Times New Roman" w:hAnsi="Times New Roman"/>
                <w:sz w:val="24"/>
                <w:szCs w:val="24"/>
                <w:b w:val="1"/>
                <w:bCs w:val="1"/>
                <w:color w:val="auto"/>
                <w:w w:val="91"/>
                <w:vertAlign w:val="superscript"/>
              </w:rPr>
              <w:t>(1)</w:t>
            </w:r>
          </w:p>
        </w:tc>
        <w:tc>
          <w:tcPr>
            <w:tcW w:w="30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2"/>
                <w:szCs w:val="22"/>
                <w:color w:val="auto"/>
              </w:rPr>
            </w:pPr>
          </w:p>
        </w:tc>
        <w:tc>
          <w:tcPr>
            <w:tcW w:w="17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Maturity</w:t>
            </w: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Notes Due July 2028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1540" w:type="dxa"/>
            <w:vAlign w:val="bottom"/>
            <w:gridSpan w:val="3"/>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7.50%</w:t>
            </w:r>
          </w:p>
        </w:tc>
        <w:tc>
          <w:tcPr>
            <w:tcW w:w="140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8.34%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31, 2026</w:t>
            </w: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31, 2028</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Notes Due October 2028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5"/>
              </w:rPr>
              <w:t>4.95</w:t>
            </w:r>
          </w:p>
        </w:tc>
        <w:tc>
          <w:tcPr>
            <w:tcW w:w="280" w:type="dxa"/>
            <w:vAlign w:val="bottom"/>
          </w:tcPr>
          <w:p>
            <w:pPr>
              <w:spacing w:after="0"/>
              <w:rPr>
                <w:sz w:val="18"/>
                <w:szCs w:val="18"/>
                <w:color w:val="auto"/>
              </w:rPr>
            </w:pP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5.32</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Callable</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31, 2028</w:t>
            </w:r>
          </w:p>
        </w:tc>
      </w:tr>
      <w:tr>
        <w:trPr>
          <w:trHeight w:val="216"/>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 Due August 2029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5"/>
              </w:rPr>
              <w:t>8.00</w:t>
            </w: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5"/>
              </w:rPr>
              <w:t>8.80</w:t>
            </w:r>
          </w:p>
        </w:tc>
        <w:tc>
          <w:tcPr>
            <w:tcW w:w="3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Callable</w:t>
            </w:r>
          </w:p>
        </w:tc>
        <w:tc>
          <w:tcPr>
            <w:tcW w:w="120" w:type="dxa"/>
            <w:vAlign w:val="bottom"/>
            <w:tcBorders>
              <w:bottom w:val="single" w:sz="8" w:color="CFF0FC"/>
            </w:tcBorders>
            <w:shd w:val="clear" w:color="auto" w:fill="CFF0FC"/>
          </w:tcPr>
          <w:p>
            <w:pPr>
              <w:spacing w:after="0"/>
              <w:rPr>
                <w:sz w:val="18"/>
                <w:szCs w:val="18"/>
                <w:color w:val="auto"/>
              </w:rPr>
            </w:pPr>
          </w:p>
        </w:tc>
        <w:tc>
          <w:tcPr>
            <w:tcW w:w="1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August 8, 2029</w:t>
            </w: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 Weighted-Average</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149,000</w:t>
            </w:r>
          </w:p>
        </w:tc>
        <w:tc>
          <w:tcPr>
            <w:tcW w:w="1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6.64%</w:t>
            </w:r>
          </w:p>
        </w:tc>
        <w:tc>
          <w:tcPr>
            <w:tcW w:w="14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7.30%</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-170815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-170815</wp:posOffset>
            </wp:positionV>
            <wp:extent cx="1111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11112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83" w:lineRule="exact"/>
        <w:rPr>
          <w:sz w:val="20"/>
          <w:szCs w:val="20"/>
          <w:color w:val="auto"/>
        </w:rPr>
      </w:pPr>
    </w:p>
    <w:p>
      <w:pPr>
        <w:ind w:left="760" w:right="3620" w:hanging="752"/>
        <w:spacing w:after="0" w:line="375" w:lineRule="auto"/>
        <w:tabs>
          <w:tab w:leader="none" w:pos="3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 interest rate on the Unsecured Notes includes deferred debt issuance cost amortization. </w:t>
      </w:r>
      <w:r>
        <w:rPr>
          <w:rFonts w:ascii="Times New Roman" w:cs="Times New Roman" w:eastAsia="Times New Roman" w:hAnsi="Times New Roman"/>
          <w:sz w:val="18"/>
          <w:szCs w:val="18"/>
          <w:u w:val="single" w:color="auto"/>
          <w:color w:val="auto"/>
        </w:rPr>
        <w:t>Natixis Facility</w:t>
      </w:r>
    </w:p>
    <w:p>
      <w:pPr>
        <w:spacing w:after="0" w:line="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On February 18, 2026, OFSCC-FS entered into the Natixis Facility, which provides for borrowings in an aggregate principal amount up to $80.0 million. Borrowings under the Natixis Facility bear interest at a rate based on SOFR plus a margin of 2.35%. The Natixis Facility also includes a fee of</w:t>
      </w:r>
    </w:p>
    <w:p>
      <w:pPr>
        <w:ind w:right="240"/>
        <w:spacing w:after="0" w:line="260" w:lineRule="auto"/>
        <w:rPr>
          <w:sz w:val="20"/>
          <w:szCs w:val="20"/>
          <w:color w:val="auto"/>
        </w:rPr>
      </w:pPr>
      <w:r>
        <w:rPr>
          <w:rFonts w:ascii="Times New Roman" w:cs="Times New Roman" w:eastAsia="Times New Roman" w:hAnsi="Times New Roman"/>
          <w:sz w:val="18"/>
          <w:szCs w:val="18"/>
          <w:color w:val="auto"/>
        </w:rPr>
        <w:t>0.40% on the unused amount of the facility, as well as an arranger fee of 0.20% on the total commitment amount of the facility. The reinvestment period during which OFSCC-FS is permitted to borrow terminates on February 18, 2029, and the facility is scheduled to mature on February 18, 2031.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the Natixis Facility had outstanding debt of $44.7 million, the unused commitment under the Natixis Facility was $35.3 million, subject to a borrowing base and other covenants, and the stated interest rate on the Natixis Facility was 6.05%.</w:t>
      </w:r>
    </w:p>
    <w:p>
      <w:pPr>
        <w:spacing w:after="0" w:line="54"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Borrowings under the Natixis Facility are secured by substantially all of the assets held by OFSCC-FS, which were $114.7 million at March 31, 2026. Our use of cash and cash equivalents held by OFSCC-FS is limited by the terms and conditions of the Natixis Facility, including but not limited to, the payment of interest expense and principal on the outstanding borrowings. As of March 31, 2026 and December 31, 2025, OFSCC-FS had cash and cash equivalents of $2.6 million and $2.4 million, respectively.</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BNP Facility</w:t>
      </w:r>
    </w:p>
    <w:p>
      <w:pPr>
        <w:spacing w:after="0" w:line="117"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On June 20, 2019, OFSCC-FS entered into the BNP Facility, which provided for borrowings in an aggregate principal amount up to $80.0 million during its reinvestment period. Borrowings under the BNP Facility bore interest at a variable rate of SOFR plus a variable margin (2.65% floor), which was determined on the basis of industry-recognized portfolio company metrics at the time of funding.</w:t>
      </w:r>
    </w:p>
    <w:p>
      <w:pPr>
        <w:spacing w:after="0" w:line="68"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On February 18, 2026, in connection with the closing of the Natixis Facility, OFSCC-FS repaid in full all outstanding obligations due, and terminated all commitments, under the BNP Facility. All liens securing the BNP Facility were released upon such repayment.</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the scheduled maturities of the principal balances of our outstanding borrowings as of March 31, 2026 (in thousands):</w:t>
      </w:r>
    </w:p>
    <w:p>
      <w:pPr>
        <w:spacing w:after="0" w:line="2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Payments due by period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2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 to 3 years</w:t>
            </w:r>
          </w:p>
        </w:tc>
        <w:tc>
          <w:tcPr>
            <w:tcW w:w="22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 to 5 years</w:t>
            </w:r>
          </w:p>
        </w:tc>
        <w:tc>
          <w:tcPr>
            <w:tcW w:w="220" w:type="dxa"/>
            <w:vAlign w:val="bottom"/>
          </w:tcPr>
          <w:p>
            <w:pPr>
              <w:spacing w:after="0"/>
              <w:rPr>
                <w:sz w:val="20"/>
                <w:szCs w:val="20"/>
                <w:color w:val="auto"/>
              </w:rPr>
            </w:pPr>
          </w:p>
        </w:tc>
        <w:tc>
          <w:tcPr>
            <w:tcW w:w="1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After 5 years</w:t>
            </w:r>
          </w:p>
        </w:tc>
        <w:tc>
          <w:tcPr>
            <w:tcW w:w="100" w:type="dxa"/>
            <w:vAlign w:val="bottom"/>
          </w:tcPr>
          <w:p>
            <w:pPr>
              <w:spacing w:after="0"/>
              <w:rPr>
                <w:sz w:val="20"/>
                <w:szCs w:val="20"/>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Banc of California Credit Facility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Natixis Facility</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Notes</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149,000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202,450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132,750</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69,700</w:t>
            </w:r>
          </w:p>
        </w:tc>
        <w:tc>
          <w:tcPr>
            <w:tcW w:w="7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-170815</wp:posOffset>
            </wp:positionV>
            <wp:extent cx="768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-170815</wp:posOffset>
            </wp:positionV>
            <wp:extent cx="768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expect to fund the growth of our investment portfolio utilizing our current borrowings, follow-on equity offerings, and issuances of senior securities or future borrowings to the extent permitted by the 1940 Act. We cannot assure stockholders that our plans to raise capital will be successful or available to us on favorable terms, if at all. In addition, we intend to distribute to our stockholders substantially all of our taxable income in order to satisfy the requirements applicable to RICs under Subchapter M of the Code. Consequently, we may not have the funds or the ability to fund new investments or make additional investments in our portfolio companies. The illiquidity of our portfolio investments, in particular, equity investments, may make it difficult for us to sell these investments when desired and, if we are required to sell these investments, we may realize significantly less than their recorded value and incur a capital loss.</w:t>
      </w:r>
    </w:p>
    <w:p>
      <w:pPr>
        <w:spacing w:after="0" w:line="8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As a BDC, we must not acquire any assets other than “qualifying assets” specified in the 1940 Act unless, at the time the acquisition is made, at least 70% of our assets, as defined by the 1940 Act, are qualifying assets (with certain limited exceptions). Qualifying assets include investments in “eligible portfolio companies.” Under the relevant SEC rules, the term “eligible portfolio company” includes all private companies, companies whose securities are not listed on a national securities exchange, and certain public companies that have listed their securities on a national securities exchange and have a market capitalization of less than $250 million, in each case organized in the United States. Conversely, we may invest up to 30% of our portfolio in opportunistic investments not otherwise eligible under BDC regulations. Specifically, as part of this 30% basket, we may consider investments in investment funds that are operating pursuant to certain exceptions to the 1940 Act and in advisers to similar investment funds, as well as in debt or equity of middle-market portfolio companies located outside of the United States and debt and equity of public companies that do not meet the definition of eligible portfolio companies because their market capitalization of publicly traded equity securities exceeds the levels provided for in the 1940 Act. We have, and may continue to, make opportunistic investments in Structured Finance Securities and other non-qualifying assets, consistent with our investment strategy. Investments in Structured Finance Securities are generally made in non-U.S. entities and are not operating companies and, therefore, are generally deemed to be non-qualifying. As of March 31, 2026, approximately 83% of our investments were qualifying assets.</w:t>
      </w:r>
    </w:p>
    <w:p>
      <w:pPr>
        <w:spacing w:after="0" w:line="82"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On May 3, 2018, our Board, including a required majority (as such term is defined in Section 57(o) of the 1940 Act) thereof, approved the application of the modified asset coverage requirements set forth in Section 61(a)(2) of the 1940 Act. As a result, effective May 3, 2019, our minimum required asset coverage ratio decreased from 200% to 150%. As of March 31, 2026, our asset coverage ratio of 154% exceeded the minimum asset coverage requirement of 150% under the 1940 Act.</w:t>
      </w:r>
    </w:p>
    <w:p>
      <w:pPr>
        <w:spacing w:after="0" w:line="7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On May 22, 2018, the Board authorized the Stock Repurchase Program under which we could acquire up to $10.0 million of our outstanding common stock through the two-year period ended May 22, 2020. On each of May 4, 2020, May 3, 2022 and April 30,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color w:val="auto"/>
        </w:rPr>
        <w:t>2024, our Board extended the Stock Repurchase Program for additional two-year periods. On April 28, 2026, our Board extended the Stock Repurchase Program for the two-year period ending on May 22, 2028. Under the extended Stock Repurchase Program, we are authorized to repurchase shares in open-market transactions, including through block purchases, depending on prevailing market conditions and other factors. We expect the Stock Repurchase Program to be in place through May 22, 2028, or until the approved dollar amount has been used to repurchase shares. The Stock Repurchase Program does not obligate us to acquire any specific number of shares, and all repurchases will be made in accordance with SEC Rule 10b-18, which sets certain restrictions on the method, timing, price and volume of stock repurchases. The Stock Repurchase Program may be extended, modified or discontinued at any time for any reason. We have provided our stockholders with notice of our intention to repurchase shares of our common stock in accordance with 1940 Act requirements. We retire all shares of common stock that we purchased in connection with the Stock Repurchase Program. During the three months ended March 31, 2026, we did not make any repurchases of common stock on the open market under the Stock Repurchase Program. As of March 31, 2026, the approximate dollar value of shares remaining that may be purchased under the program was $9.6 million.</w:t>
      </w:r>
    </w:p>
    <w:p>
      <w:pPr>
        <w:spacing w:after="0" w:line="8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determines that such sale is in the best interests of us and our stockholders, and if our stockholders approve such sale. On July 30, 2025, our stockholders approved a proposal to authorize us, with approval of our Board, to sell or otherwise issue shares of our common stock (during a twelve-month period) at a price below our then-current net asset value per share in one or more offerings, subject to certain limitations (including that the cumulative number of shares sold pursuant to such authority does not exceed 25% of our then outstanding common stock immediately prior to each such sale). We have not sold any shares below net asset value pursuant to the proposal approved by our stockholders.</w:t>
      </w:r>
    </w:p>
    <w:p>
      <w:pPr>
        <w:spacing w:after="0" w:line="81" w:lineRule="exact"/>
        <w:rPr>
          <w:sz w:val="20"/>
          <w:szCs w:val="20"/>
          <w:color w:val="auto"/>
        </w:rPr>
      </w:pPr>
    </w:p>
    <w:p>
      <w:pPr>
        <w:jc w:val="both"/>
        <w:ind w:right="260" w:firstLine="749"/>
        <w:spacing w:after="0" w:line="261" w:lineRule="auto"/>
        <w:rPr>
          <w:sz w:val="20"/>
          <w:szCs w:val="20"/>
          <w:color w:val="auto"/>
        </w:rPr>
      </w:pPr>
      <w:r>
        <w:rPr>
          <w:rFonts w:ascii="Times New Roman" w:cs="Times New Roman" w:eastAsia="Times New Roman" w:hAnsi="Times New Roman"/>
          <w:sz w:val="18"/>
          <w:szCs w:val="18"/>
          <w:color w:val="auto"/>
        </w:rPr>
        <w:t>We continue to monitor the current banking environment. If the banks and financial institutions with whom we have credit facilities enter into receivership, undergo consolidation or become insolvent in the future, our liquidity may be reduced significantly. At various times, our cash balances at third-party financial institutions exceed the federally insured limit. Our cash and cash equivalent balances are retained in custodian accounts with U.S. Bank Trust Company, National Association and Citibank N.A., and we do not believe they are exposed to any significant credit risk.</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Contractual Obligations</w:t>
      </w:r>
    </w:p>
    <w:p>
      <w:pPr>
        <w:spacing w:after="0" w:line="117"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As of March 31, 2026, we had $3.3 million of cash and cash equivalents, as well as unused commitments of $6.3 million under our Banc of California Credit Facility and $35.3 million under our Natixis Facility, respectively, to meet our short-term contractual obligations, subject to contractual requirements and regulatory asset coverage requirements. As of March 31, 2026, we had $7.8 million in unfunded commitments to fund portfolio investments that can be funded with our current cash or credit facilities.</w:t>
      </w:r>
    </w:p>
    <w:p>
      <w:pPr>
        <w:spacing w:after="0" w:line="72"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Following the maturity extension of our Banc of California Credit Facility in January 2026, the final repayment of our 4.75% Unsecured Notes Due February 2026, and the execution of our Natixis Facility in February 2026, we do not have any debt maturities until February 2028.</w:t>
      </w:r>
    </w:p>
    <w:p>
      <w:pPr>
        <w:spacing w:after="0" w:line="54"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Long-term contractual obligations, such as our Natixis Facility that matures in 2031 and had $44.7 million outstanding as of March 31, 2026, could be repaid by selling OFSCC-FS portfolio investments that have a fair value of $109.6 million as of March 31, 2026. A portion of the OFSCC-FS portfolio includes broadly syndicated loans in larger portfolio companies that generally can be sold over a relatively short period to generate cash. As of March 31, 2026, the broadly syndicated loan investments in the OFSCC-FS portfolio totaled $19.3 million at fair value. We cannot, however, be certain that this source of funds will be available and upon terms acceptable to us in sufficient amounts in the future. If we were required to liquidate a portfolio investment in a forced or liquidation sale, we could realize significantly less than its current fair value and incur significant realized losses on our invested capital.</w:t>
      </w:r>
    </w:p>
    <w:p>
      <w:pPr>
        <w:spacing w:after="0" w:line="81"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we had $149.0 million of outstanding Unsecured Notes, of which $124.0 million matures 2028 and $25.0 million matures in 2029. The Unsecured Notes can be repaid by issuing additional senior securities to refinance the debt or by selling portfolio investments.</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Off-Balance Sheet Arrangements</w:t>
      </w:r>
    </w:p>
    <w:p>
      <w:pPr>
        <w:spacing w:after="0" w:line="117" w:lineRule="exact"/>
        <w:rPr>
          <w:sz w:val="20"/>
          <w:szCs w:val="20"/>
          <w:color w:val="auto"/>
        </w:rPr>
      </w:pPr>
    </w:p>
    <w:p>
      <w:pPr>
        <w:jc w:val="both"/>
        <w:ind w:right="340" w:firstLine="749"/>
        <w:spacing w:after="0" w:line="266" w:lineRule="auto"/>
        <w:rPr>
          <w:sz w:val="20"/>
          <w:szCs w:val="20"/>
          <w:color w:val="auto"/>
        </w:rPr>
      </w:pPr>
      <w:r>
        <w:rPr>
          <w:rFonts w:ascii="Times New Roman" w:cs="Times New Roman" w:eastAsia="Times New Roman" w:hAnsi="Times New Roman"/>
          <w:sz w:val="18"/>
          <w:szCs w:val="18"/>
          <w:color w:val="auto"/>
        </w:rPr>
        <w:t>We have entered into contracts with third parties under which we have material future commitments — the Investment Advisory Agreement, pursuant to which OFS Advisor has agreed to serve as our investment adviser, and the Administration Agreement, pursuant to which OFS Services has agreed to furnish us with the facilities and administrative services necessary to conduct our day-to-day operations.</w:t>
      </w:r>
    </w:p>
    <w:p>
      <w:pPr>
        <w:spacing w:after="0" w:line="68"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We may become a party to financial instruments with off-balance sheet risk in the normal course of business to meet the financial needs of our portfolio companies. These instruments may include commitments to extend credit and involve, to varying degrees, elements of liquidity and credit risk in excess of the amount recognized on the balance sheet. There is no guarantee that these amounts will be funded to the borrowing party now or in the future. We continue to believe that we have sufficient levels of liquidity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right="380"/>
        <w:spacing w:after="0" w:line="282" w:lineRule="auto"/>
        <w:rPr>
          <w:sz w:val="20"/>
          <w:szCs w:val="20"/>
          <w:color w:val="auto"/>
        </w:rPr>
      </w:pPr>
      <w:r>
        <w:rPr>
          <w:rFonts w:ascii="Times New Roman" w:cs="Times New Roman" w:eastAsia="Times New Roman" w:hAnsi="Times New Roman"/>
          <w:sz w:val="18"/>
          <w:szCs w:val="18"/>
          <w:color w:val="auto"/>
        </w:rPr>
        <w:t>to support our existing portfolio companies and will meet these unfunded commitments by using our cash on hand or utilizing our available borrowing capacity under the Banc of California Credit Facility.</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are taxed as a RIC under the Code. In order to maintain our tax treatment as a RIC, we are required to distribute annually to our stockholders at least 90% of our ICTI, as defined by the Code. Additionally, to avoid a 4% excise tax on undistributed earnings we are required to distribute each calendar year the sum of: (i) 98% of our ordinary income for such calendar year; (ii) 98.2% of our net capital gains for the one-year period ending October 31 of that calendar year; and (iii) any income recognized, but not distributed, in preceding years and on which we paid no federal income tax. Maintenance of our RIC status requires adherence to certain source of income and asset diversification requirements. Generally, a RIC is entitled to deduct dividends it pays to its stockholders from its income to determine “taxable income”. Taxable income includes our taxable interest, dividend and fee income, and taxable net capital gains. Taxable income generally differs from net income for financial reporting purposes due to temporary and permanent differences in the recognition of income and expenses, and generally excludes net unrealized appreciation or depreciation, as gains or losses are not included in taxable income until they are realized. In addition, gains realized for financial reporting purposes may differ from gains included in taxable income as a result of our election to recognize gains using installment sale treatment, which generally results in the deferment of gains for tax purposes until notes or other amounts, including amounts held in escrow received as consideration from the sale of investments, are collected in cash. Taxable income includes non-cash income, such as changes in accrued and reinvested interest and dividends, which includes contractual PIK interest, and the amortization of discounts and fees. Cash collections of income resulting from contractual PIK interest and dividends or the amortization of discounts and fees generally occur upon the repayment of the loans or debt securities that include such items. Non-cash taxable income is reduced by non-cash expenses, such as realized losses and depreciation, and amortization expense.</w:t>
      </w:r>
    </w:p>
    <w:p>
      <w:pPr>
        <w:spacing w:after="0" w:line="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Board maintains a variable dividend policy with the objective of distributing quarterly distributions in an amount not less than 90% of our taxable quarterly income or potential annual income for a particular year. In addition, during the year, we may pay a special dividend, such that we may distribute approximately all of our annual taxable income in the year it was earned, while maintaining the option to spill over our excess taxable income to a following year. We may choose to retain a portion of our taxable income in any year and pay the 4% U.S. federal excise tax on the retained amounts. Distributions in excess of our current and accumulated ICTI would be treated first as a return of capital to the extent of the stockholder’s adjusted tax basis, and any remaining distributions would be treated as a capital gain. The determination of the tax attributes of our distributions is made annually as of the end of our fiscal year based upon our estimated ICTI for the full year and distributions paid for the full year. Each year, a statement on Form 1099-DIV identifying the source of the distribution is mailed to our stockholders.</w:t>
      </w:r>
    </w:p>
    <w:p>
      <w:pPr>
        <w:spacing w:after="0" w:line="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Declaration of a Distribution</w:t>
      </w:r>
    </w:p>
    <w:p>
      <w:pPr>
        <w:spacing w:after="0" w:line="121"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On April 28, 2026, our Board declared a distribution of $0.17 per share for the second quarter of 2026, payable on July 6, 2026 to stockholders of record as of June 19, 2026.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and the valuations of our investment portfolio. The economic effects of the ongoing war between Russia and Ukraine, the escalated armed conflict and heightened regional tensions in the Middle East, activity in South America, interest rate and inflation rate changes, ongoing supply chain and labor market disruptions, including those as a result of strikes, work stoppages or accidents, the agenda of the U.S. presidential administration, including the impact of tariff enactment and tax reductions, trade disputes with other countries, instability in the U.S. and international banking systems and the risk of recession or the impact of the prolonged shutdown of U.S. government services has introduced significant volatility in the financial markets, and the effects of this volatility has impacted and could continue to impact our market risks. For additional information concerning risks and their potential impact on our business and our operating results, see “Part I—Item 1A. Risk Factors” in our Annual Report on Form 10-K for the fiscal year ended December 31, 2025, filed on March 3, 2026.</w:t>
      </w:r>
    </w:p>
    <w:p>
      <w:pPr>
        <w:spacing w:after="0" w:line="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Investment Valuation Risk</w:t>
      </w:r>
    </w:p>
    <w:p>
      <w:pPr>
        <w:spacing w:after="0" w:line="121" w:lineRule="exact"/>
        <w:rPr>
          <w:sz w:val="20"/>
          <w:szCs w:val="20"/>
          <w:color w:val="auto"/>
        </w:rPr>
      </w:pPr>
    </w:p>
    <w:p>
      <w:pPr>
        <w:jc w:val="both"/>
        <w:ind w:right="80" w:firstLine="749"/>
        <w:spacing w:after="0" w:line="257" w:lineRule="auto"/>
        <w:rPr>
          <w:sz w:val="20"/>
          <w:szCs w:val="20"/>
          <w:color w:val="auto"/>
        </w:rPr>
      </w:pPr>
      <w:r>
        <w:rPr>
          <w:rFonts w:ascii="Times New Roman" w:cs="Times New Roman" w:eastAsia="Times New Roman" w:hAnsi="Times New Roman"/>
          <w:sz w:val="18"/>
          <w:szCs w:val="18"/>
          <w:color w:val="auto"/>
        </w:rPr>
        <w:t>Because there is not a readily available market value for most of the investments in our portfolio, we value a significant portion of our portfolio investments at fair value as determined in good faith by OFS Advisor, as valuation designee, based, in part, on independent third-party valuation firms that have been engaged at the direction of OFS Advisor to assist in the valuation of most portfolio investments without a readily available market quotation.</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our investments may fluctuate significantly from period-to-period. Additionally, the fair value of our investments may differ significantly from the values that would have been used had a ready market existed for such investments and may differ materially from the values that we may ultimately realize. Further, some investments may be subject to legal and other restrictions on resale or otherwise are less liquid than publicly traded securities. If we were required to liquidate a portfolio investment in a forced or liquidation sale, we could realize significantly less than its current fair value. See “Management’s Discussion and Analysis of Financial Condition and Results of Operations—Critical Accounting Policies and Significant Estimates” as well as Notes 2 and 5 to our consolidated financial statements for the three months ended March 31, 2026 for more information relating to our investment valuation.</w:t>
      </w:r>
    </w:p>
    <w:p>
      <w:pPr>
        <w:spacing w:after="0" w:line="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As of March 31, 2026, we held loans and mezzanine debt investments with an aggregate fair value of $153.4 million, or 94% of our total loan and mezzanine debt investments, at fair value, that bore interest at floating interest rates and contained interest rate reset provisions that adjust applicable interest rates to current rates on a periodic basis. The aggregate 175 basis point reductions in the U.S. Federal Reserve target federal funds rate enacted from September 2024 through December 2025 has resulted in our variable rate debt investments generating less interest income. Changes in interest rates, including potential additional interest rate reductions approved by the U.S. Federal Reserve, may impact our results of operations, cost of funding and the valuation of our investments. Additional reductions in interest rates would reduce our interest income, which could in turn decrease our net investment income if such decreases in base interest rates are not offset by other factors, such as increases in the spread over such base interest rates or decreases in our operating expenses.</w:t>
      </w:r>
    </w:p>
    <w:p>
      <w:pPr>
        <w:spacing w:after="0" w:line="84"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2026, our Unsecured Notes comprise 74% of our total outstanding debt. Our Unsecured Notes bear interest at fixed rates, which may result in net interest margin compression in a period of falling interest rates. As of March 31, 2026, our Banc of California Credit Facility and Natixis Facility had floating interest rate provisions based on the applicable reference rates.</w:t>
      </w:r>
    </w:p>
    <w:p>
      <w:pPr>
        <w:spacing w:after="0" w:line="6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Interest rate sensitivity refers to the change in our earnings that may result from changes in the level of interest rates as of March 31, 2026. As of March 31, 2026, 1-month and 3-month SOFR were 3.66% and 3.68%, respectively. Assuming that the interim and unaudited consolidated balance sheet as of March 31, 2026 were to remain constant and that we took no actions to alter our existing interest rate sensitivity, the following tables show the annualized impact of hypothetical changes in interest rate indices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Basis point increase</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100" w:type="dxa"/>
            <w:vAlign w:val="bottom"/>
          </w:tcPr>
          <w:p>
            <w:pPr>
              <w:spacing w:after="0"/>
              <w:rPr>
                <w:sz w:val="20"/>
                <w:szCs w:val="20"/>
                <w:color w:val="auto"/>
              </w:rPr>
            </w:pPr>
          </w:p>
        </w:tc>
      </w:tr>
      <w:tr>
        <w:trPr>
          <w:trHeight w:val="21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FF0FC"/>
          </w:tcPr>
          <w:p>
            <w:pPr>
              <w:spacing w:after="0"/>
              <w:rPr>
                <w:sz w:val="18"/>
                <w:szCs w:val="18"/>
                <w:color w:val="auto"/>
              </w:rPr>
            </w:pPr>
          </w:p>
        </w:tc>
      </w:tr>
    </w:tbl>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Basis point decrease</w:t>
            </w:r>
          </w:p>
        </w:tc>
        <w:tc>
          <w:tcPr>
            <w:tcW w:w="2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100" w:type="dxa"/>
            <w:vAlign w:val="bottom"/>
          </w:tcPr>
          <w:p>
            <w:pPr>
              <w:spacing w:after="0"/>
              <w:rPr>
                <w:sz w:val="20"/>
                <w:szCs w:val="20"/>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25</w:t>
            </w:r>
          </w:p>
        </w:tc>
        <w:tc>
          <w:tcPr>
            <w:tcW w:w="2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75</w:t>
            </w:r>
          </w:p>
        </w:tc>
        <w:tc>
          <w:tcPr>
            <w:tcW w:w="2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125</w:t>
            </w:r>
          </w:p>
        </w:tc>
        <w:tc>
          <w:tcPr>
            <w:tcW w:w="2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(1,451)</w:t>
            </w:r>
          </w:p>
        </w:tc>
      </w:tr>
      <w:tr>
        <w:trPr>
          <w:trHeight w:val="648"/>
        </w:trPr>
        <w:tc>
          <w:tcPr>
            <w:tcW w:w="3540" w:type="dxa"/>
            <w:vAlign w:val="bottom"/>
          </w:tcPr>
          <w:p>
            <w:pPr>
              <w:spacing w:after="0"/>
              <w:rPr>
                <w:sz w:val="24"/>
                <w:szCs w:val="24"/>
                <w:color w:val="auto"/>
              </w:rPr>
            </w:pPr>
          </w:p>
        </w:tc>
        <w:tc>
          <w:tcPr>
            <w:tcW w:w="2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we believe that the foregoing analysis is indicative of our net interest margin sensitivity to interest rate changes as of March 31, 2026, it does not adjust for potential changes in the credit market, credit quality, size and composition of the assets in our portfolio, and other business developments, including borrowings under our credit facilities, that could affect net increase in net assets resulting from operations, or net income. Accordingly, no assurances can be given that actual results would not differ materially from the statement above.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2026. The term “disclosure controls and procedures” (as defined in Rules 13a-15(e) and 15d-15(e) under the Exchange Act) means controls and other procedures of a company that are designed to ensure that information required to be disclosed by a company in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foregoing evaluation of our disclosure controls and procedures as of March 31, 2026, our Chief Executive Officer and Chief Financial Officer concluded that, as of such date,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OFS Advisor and OFS Services, are not currently subject to any material pending legal proceedings threatened against us as of March 31, 2026. From time to time, we may be a party to certain legal proceedings incidental to the normal course of our business, including the enforcement of our rights under contracts with our portfolio companies. Furthermore, third parties may try to seek to impose liability on us in connection with the activities of our portfolio companies. While the outcome of these legal proceedings cannot be predicted with certainty, we do not expect that these proceedings will have a material effect upon our business, financial condition, results of operations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Investing in our common stock may be speculative and involves a high degree of risk. In addition to the other information contained in this Quarterly Report on Form 10-Q, including our financial statements, and the related notes, schedules and exhibits, you should carefully consider the risk factors described in “Part I, Item 1A. Risk Factors” in our Annual Report on Form 10-K for the fiscal year ended December 31, 2025 (the “Annual Report on Form 10-K”), filed on March 3, 2026,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79"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The risks previously disclosed in the Annual Report on Form 10-K should be read together with the other information disclosed elsewhere in this Quarterly Report on Form 10-Q and our other reports filed with the SEC.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On May 22, 2018, the Board authorized the Company to initiate the Stock Repurchase Program under which the Company could acquire up to $10.0 million of its outstanding common stock through the two-year period ended May 22, 2020.</w:t>
      </w:r>
    </w:p>
    <w:p>
      <w:pPr>
        <w:spacing w:after="0" w:line="5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each of May 4, 2020, May 3, 2022 and April 30, 2024, our Board extended the Stock Repurchase Program for additional two-year periods. On April 28, 2026, the Board extended the Stock Repurchase Program for the two-year period ending May 22, 2028. Under the extended Stock Repurchase Program, the Company is authorized to repurchase shares in open-market transactions, including through block purchases, depending on prevailing market conditions and other factors. The Company expects the Stock Repurchase Program to be in place through May 22, 2028, or until the approved dollar amount has been used to repurchase shares. The Stock Repurchase Program does not obligate the Company to acquire any specific number of shares, and all repurchases will be made in accordance with SEC Rule 10b-18, which sets certain restrictions on the method, timing, price and volume of stock repurchases. The Stock Repurchase Program may be extended, modified or discontinued at any time for any reason. The Company retires all shares of common stock that it purchases in connection with the Stock Repurchase Program. As of March 31, 2026, the approximate dollar value of shares remaining that may be purchased under the program was $9.6 million.</w:t>
      </w:r>
    </w:p>
    <w:p>
      <w:pPr>
        <w:spacing w:after="0" w:line="80"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did not make any repurchases of its common stock on the open market under the Stock Repurchase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right="94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Range of Common Stock and Distributions</w:t>
      </w:r>
    </w:p>
    <w:p>
      <w:pPr>
        <w:spacing w:after="0" w:line="121"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Company’s common stock is traded on The Nasdaq Global Select Market under the symbol “OFS”. The following table lists the high and low intraday sale price for the Company’s common stock, NAV per share, and the cash distributions per share that were declared on its common stock for each fiscal quarter during the last two most recently completed fiscal years and each full fiscal quarter of the current fiscal year. The last reported sale price for our common stock on The Nasdaq Global Select Market on March 31, 2026 was $3.55 per share.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2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15"/>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center"/>
              <w:ind w:right="440"/>
              <w:spacing w:after="0" w:line="115" w:lineRule="exact"/>
              <w:rPr>
                <w:sz w:val="20"/>
                <w:szCs w:val="20"/>
                <w:color w:val="auto"/>
              </w:rPr>
            </w:pPr>
            <w:r>
              <w:rPr>
                <w:rFonts w:ascii="Times New Roman" w:cs="Times New Roman" w:eastAsia="Times New Roman" w:hAnsi="Times New Roman"/>
                <w:sz w:val="13"/>
                <w:szCs w:val="13"/>
                <w:b w:val="1"/>
                <w:bCs w:val="1"/>
                <w:color w:val="auto"/>
              </w:rPr>
              <w:t>NAV Per</w:t>
            </w:r>
          </w:p>
        </w:tc>
        <w:tc>
          <w:tcPr>
            <w:tcW w:w="200" w:type="dxa"/>
            <w:vAlign w:val="bottom"/>
          </w:tcPr>
          <w:p>
            <w:pPr>
              <w:spacing w:after="0"/>
              <w:rPr>
                <w:sz w:val="10"/>
                <w:szCs w:val="10"/>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0"/>
                <w:szCs w:val="10"/>
                <w:color w:val="auto"/>
              </w:rPr>
            </w:pPr>
          </w:p>
        </w:tc>
        <w:tc>
          <w:tcPr>
            <w:tcW w:w="2000" w:type="dxa"/>
            <w:vAlign w:val="bottom"/>
            <w:gridSpan w:val="2"/>
          </w:tcPr>
          <w:p>
            <w:pPr>
              <w:jc w:val="center"/>
              <w:ind w:right="340"/>
              <w:spacing w:after="0" w:line="115" w:lineRule="exact"/>
              <w:rPr>
                <w:sz w:val="20"/>
                <w:szCs w:val="20"/>
                <w:color w:val="auto"/>
              </w:rPr>
            </w:pPr>
            <w:r>
              <w:rPr>
                <w:rFonts w:ascii="Times New Roman" w:cs="Times New Roman" w:eastAsia="Times New Roman" w:hAnsi="Times New Roman"/>
                <w:sz w:val="13"/>
                <w:szCs w:val="13"/>
                <w:b w:val="1"/>
                <w:bCs w:val="1"/>
                <w:color w:val="auto"/>
              </w:rPr>
              <w:t>(Discount) of High</w:t>
            </w:r>
          </w:p>
        </w:tc>
        <w:tc>
          <w:tcPr>
            <w:tcW w:w="2040" w:type="dxa"/>
            <w:vAlign w:val="bottom"/>
            <w:gridSpan w:val="2"/>
          </w:tcPr>
          <w:p>
            <w:pPr>
              <w:jc w:val="center"/>
              <w:ind w:right="380"/>
              <w:spacing w:after="0" w:line="115" w:lineRule="exact"/>
              <w:rPr>
                <w:sz w:val="20"/>
                <w:szCs w:val="20"/>
                <w:color w:val="auto"/>
              </w:rPr>
            </w:pPr>
            <w:r>
              <w:rPr>
                <w:rFonts w:ascii="Times New Roman" w:cs="Times New Roman" w:eastAsia="Times New Roman" w:hAnsi="Times New Roman"/>
                <w:sz w:val="13"/>
                <w:szCs w:val="13"/>
                <w:b w:val="1"/>
                <w:bCs w:val="1"/>
                <w:color w:val="auto"/>
              </w:rPr>
              <w:t>(Discount) of Low</w:t>
            </w:r>
          </w:p>
        </w:tc>
        <w:tc>
          <w:tcPr>
            <w:tcW w:w="160" w:type="dxa"/>
            <w:vAlign w:val="bottom"/>
          </w:tcPr>
          <w:p>
            <w:pPr>
              <w:spacing w:after="0"/>
              <w:rPr>
                <w:sz w:val="10"/>
                <w:szCs w:val="10"/>
                <w:color w:val="auto"/>
              </w:rPr>
            </w:pPr>
          </w:p>
        </w:tc>
        <w:tc>
          <w:tcPr>
            <w:tcW w:w="116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3"/>
                <w:szCs w:val="13"/>
                <w:b w:val="1"/>
                <w:bCs w:val="1"/>
                <w:color w:val="auto"/>
              </w:rPr>
              <w:t>Distribution</w:t>
            </w:r>
          </w:p>
        </w:tc>
        <w:tc>
          <w:tcPr>
            <w:tcW w:w="0" w:type="dxa"/>
            <w:vAlign w:val="bottom"/>
          </w:tcPr>
          <w:p>
            <w:pPr>
              <w:spacing w:after="0"/>
              <w:rPr>
                <w:sz w:val="1"/>
                <w:szCs w:val="1"/>
                <w:color w:val="auto"/>
              </w:rPr>
            </w:pPr>
          </w:p>
        </w:tc>
      </w:tr>
      <w:tr>
        <w:trPr>
          <w:trHeight w:val="176"/>
        </w:trPr>
        <w:tc>
          <w:tcPr>
            <w:tcW w:w="2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40"/>
              <w:spacing w:after="0" w:line="175" w:lineRule="exact"/>
              <w:rPr>
                <w:sz w:val="20"/>
                <w:szCs w:val="20"/>
                <w:color w:val="auto"/>
              </w:rPr>
            </w:pPr>
            <w:r>
              <w:rPr>
                <w:rFonts w:ascii="Times New Roman" w:cs="Times New Roman" w:eastAsia="Times New Roman" w:hAnsi="Times New Roman"/>
                <w:sz w:val="14"/>
                <w:szCs w:val="14"/>
                <w:b w:val="1"/>
                <w:bCs w:val="1"/>
                <w:color w:val="auto"/>
                <w:w w:val="96"/>
              </w:rPr>
              <w:t>Share</w:t>
            </w:r>
            <w:r>
              <w:rPr>
                <w:rFonts w:ascii="Times New Roman" w:cs="Times New Roman" w:eastAsia="Times New Roman" w:hAnsi="Times New Roman"/>
                <w:sz w:val="19"/>
                <w:szCs w:val="19"/>
                <w:b w:val="1"/>
                <w:bCs w:val="1"/>
                <w:color w:val="auto"/>
                <w:w w:val="96"/>
                <w:vertAlign w:val="superscript"/>
              </w:rPr>
              <w:t>(1)</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Sales Price to NAV</w:t>
            </w:r>
          </w:p>
        </w:tc>
        <w:tc>
          <w:tcPr>
            <w:tcW w:w="2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Sales Price to NAV</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2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2026</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2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2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2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2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right="6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Listed below are the exhibits that are filed as part of this report (according to the number assigned to them in Item 601 of Regulation S-K):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4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80" w:type="dxa"/>
            <w:vAlign w:val="bottom"/>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4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and SEC</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 with</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 with</w:t>
            </w:r>
          </w:p>
        </w:tc>
      </w:tr>
      <w:tr>
        <w:trPr>
          <w:trHeight w:val="23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10-Q</w:t>
            </w:r>
          </w:p>
        </w:tc>
      </w:tr>
      <w:tr>
        <w:trPr>
          <w:trHeight w:val="41"/>
        </w:trPr>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7"/>
                <w:szCs w:val="17"/>
                <w:color w:val="auto"/>
              </w:rPr>
            </w:pPr>
          </w:p>
        </w:tc>
        <w:tc>
          <w:tcPr>
            <w:tcW w:w="5080" w:type="dxa"/>
            <w:vAlign w:val="bottom"/>
            <w:gridSpan w:val="5"/>
          </w:tcPr>
          <w:p>
            <w:pPr>
              <w:spacing w:after="0" w:line="196"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Certificate of Incorporation of OFS Capital Corporation</w:t>
              </w:r>
            </w:hyperlink>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Form N-2/A</w:t>
            </w:r>
          </w:p>
        </w:tc>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(333-166363)</w:t>
            </w:r>
          </w:p>
        </w:tc>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18, 2011</w:t>
            </w:r>
          </w:p>
        </w:tc>
        <w:tc>
          <w:tcPr>
            <w:tcW w:w="11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46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Certificate of Correction to Certificate of Incorporation of OFS</w:t>
              </w:r>
            </w:hyperlink>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10-K</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(814-00813)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2013</w:t>
            </w:r>
          </w:p>
        </w:tc>
        <w:tc>
          <w:tcPr>
            <w:tcW w:w="11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437">
              <w:r>
                <w:rPr>
                  <w:rFonts w:ascii="Times New Roman" w:cs="Times New Roman" w:eastAsia="Times New Roman" w:hAnsi="Times New Roman"/>
                  <w:sz w:val="18"/>
                  <w:szCs w:val="18"/>
                  <w:color w:val="0000FF"/>
                  <w:w w:val="98"/>
                </w:rPr>
                <w:t>Capital Corporation</w:t>
              </w:r>
            </w:hyperlink>
          </w:p>
        </w:tc>
        <w:tc>
          <w:tcPr>
            <w:tcW w:w="20" w:type="dxa"/>
            <w:vAlign w:val="bottom"/>
            <w:tcBorders>
              <w:bottom w:val="single" w:sz="8" w:color="0000EE"/>
            </w:tcBorders>
          </w:tcPr>
          <w:p>
            <w:pPr>
              <w:spacing w:after="0"/>
              <w:rPr>
                <w:sz w:val="17"/>
                <w:szCs w:val="17"/>
                <w:color w:val="auto"/>
              </w:rPr>
            </w:pPr>
          </w:p>
        </w:tc>
        <w:tc>
          <w:tcPr>
            <w:tcW w:w="3620" w:type="dxa"/>
            <w:vAlign w:val="bottom"/>
            <w:gridSpan w:val="3"/>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spacing w:after="0" w:line="90" w:lineRule="exact"/>
        <w:rPr>
          <w:sz w:val="20"/>
          <w:szCs w:val="20"/>
          <w:color w:val="auto"/>
        </w:rPr>
      </w:pPr>
    </w:p>
    <w:p>
      <w:pPr>
        <w:sectPr>
          <w:pgSz w:w="11900" w:h="16838" w:orient="portrait"/>
          <w:cols w:equalWidth="0" w:num="1">
            <w:col w:w="11240"/>
          </w:cols>
          <w:pgMar w:left="320" w:top="981" w:right="339" w:bottom="1440" w:gutter="0" w:footer="0" w:header="0"/>
        </w:sectPr>
      </w:pPr>
    </w:p>
    <w:p>
      <w:pPr>
        <w:ind w:left="400"/>
        <w:spacing w:after="0"/>
        <w:rPr>
          <w:sz w:val="20"/>
          <w:szCs w:val="20"/>
          <w:color w:val="auto"/>
        </w:rPr>
      </w:pPr>
      <w:r>
        <w:rPr>
          <w:rFonts w:ascii="Times New Roman" w:cs="Times New Roman" w:eastAsia="Times New Roman" w:hAnsi="Times New Roman"/>
          <w:sz w:val="18"/>
          <w:szCs w:val="18"/>
          <w:color w:val="auto"/>
        </w:rPr>
        <w:t>3.3</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438">
        <w:r>
          <w:rPr>
            <w:rFonts w:ascii="Times New Roman" w:cs="Times New Roman" w:eastAsia="Times New Roman" w:hAnsi="Times New Roman"/>
            <w:sz w:val="18"/>
            <w:szCs w:val="18"/>
            <w:u w:val="single" w:color="auto"/>
            <w:color w:val="0000FF"/>
          </w:rPr>
          <w:t>Bylaws of OFS Capital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64401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1644015" cy="8255"/>
                    </a:xfrm>
                    <a:prstGeom prst="rect">
                      <a:avLst/>
                    </a:prstGeom>
                    <a:noFill/>
                  </pic:spPr>
                </pic:pic>
              </a:graphicData>
            </a:graphic>
          </wp:anchor>
        </w:drawing>
      </w:r>
    </w:p>
    <w:p>
      <w:pPr>
        <w:spacing w:after="0" w:line="16" w:lineRule="exact"/>
        <w:rPr>
          <w:sz w:val="20"/>
          <w:szCs w:val="20"/>
          <w:color w:val="auto"/>
        </w:rPr>
      </w:pPr>
    </w:p>
    <w:p>
      <w:pPr>
        <w:spacing w:after="0" w:line="253" w:lineRule="auto"/>
        <w:rPr>
          <w:rFonts w:ascii="Times New Roman" w:cs="Times New Roman" w:eastAsia="Times New Roman" w:hAnsi="Times New Roman"/>
          <w:sz w:val="18"/>
          <w:szCs w:val="18"/>
          <w:u w:val="single" w:color="auto"/>
          <w:color w:val="0000FF"/>
        </w:rPr>
      </w:pPr>
      <w:hyperlink r:id="rId440">
        <w:r>
          <w:rPr>
            <w:rFonts w:ascii="Times New Roman" w:cs="Times New Roman" w:eastAsia="Times New Roman" w:hAnsi="Times New Roman"/>
            <w:sz w:val="18"/>
            <w:szCs w:val="18"/>
            <w:u w:val="single" w:color="auto"/>
            <w:color w:val="0000FF"/>
          </w:rPr>
          <w:t>Revolving Credit and Security Agreement by and among OFSCC-FS,</w:t>
        </w:r>
      </w:hyperlink>
      <w:r>
        <w:rPr>
          <w:rFonts w:ascii="Times New Roman" w:cs="Times New Roman" w:eastAsia="Times New Roman" w:hAnsi="Times New Roman"/>
          <w:sz w:val="18"/>
          <w:szCs w:val="18"/>
          <w:u w:val="single" w:color="auto"/>
          <w:color w:val="0000FF"/>
        </w:rPr>
        <w:t xml:space="preserve"> </w:t>
      </w:r>
      <w:hyperlink r:id="rId440">
        <w:r>
          <w:rPr>
            <w:rFonts w:ascii="Times New Roman" w:cs="Times New Roman" w:eastAsia="Times New Roman" w:hAnsi="Times New Roman"/>
            <w:sz w:val="18"/>
            <w:szCs w:val="18"/>
            <w:u w:val="single" w:color="auto"/>
            <w:color w:val="0000FF"/>
          </w:rPr>
          <w:t>LLC, as borrower, the lenders from time to time party thereto,</w:t>
        </w:r>
      </w:hyperlink>
      <w:r>
        <w:rPr>
          <w:rFonts w:ascii="Times New Roman" w:cs="Times New Roman" w:eastAsia="Times New Roman" w:hAnsi="Times New Roman"/>
          <w:sz w:val="18"/>
          <w:szCs w:val="18"/>
          <w:u w:val="single" w:color="auto"/>
          <w:color w:val="0000FF"/>
        </w:rPr>
        <w:t xml:space="preserve"> </w:t>
      </w:r>
      <w:hyperlink r:id="rId440">
        <w:r>
          <w:rPr>
            <w:rFonts w:ascii="Times New Roman" w:cs="Times New Roman" w:eastAsia="Times New Roman" w:hAnsi="Times New Roman"/>
            <w:sz w:val="18"/>
            <w:szCs w:val="18"/>
            <w:u w:val="single" w:color="auto"/>
            <w:color w:val="0000FF"/>
          </w:rPr>
          <w:t>Natixis, New York Branch, as administrative agent, OFSCC-FS</w:t>
        </w:r>
      </w:hyperlink>
      <w:r>
        <w:rPr>
          <w:rFonts w:ascii="Times New Roman" w:cs="Times New Roman" w:eastAsia="Times New Roman" w:hAnsi="Times New Roman"/>
          <w:sz w:val="18"/>
          <w:szCs w:val="18"/>
          <w:u w:val="single" w:color="auto"/>
          <w:color w:val="0000FF"/>
        </w:rPr>
        <w:t xml:space="preserve"> </w:t>
      </w:r>
      <w:hyperlink r:id="rId440">
        <w:r>
          <w:rPr>
            <w:rFonts w:ascii="Times New Roman" w:cs="Times New Roman" w:eastAsia="Times New Roman" w:hAnsi="Times New Roman"/>
            <w:sz w:val="18"/>
            <w:szCs w:val="18"/>
            <w:u w:val="single" w:color="auto"/>
            <w:color w:val="0000FF"/>
          </w:rPr>
          <w:t>Holdings, LLC, as equityholder, OFS Capital Corporation, as</w:t>
        </w:r>
      </w:hyperlink>
      <w:r>
        <w:rPr>
          <w:rFonts w:ascii="Times New Roman" w:cs="Times New Roman" w:eastAsia="Times New Roman" w:hAnsi="Times New Roman"/>
          <w:sz w:val="18"/>
          <w:szCs w:val="18"/>
          <w:u w:val="single" w:color="auto"/>
          <w:color w:val="0000FF"/>
        </w:rPr>
        <w:t xml:space="preserve"> </w:t>
      </w:r>
      <w:hyperlink r:id="rId440">
        <w:r>
          <w:rPr>
            <w:rFonts w:ascii="Times New Roman" w:cs="Times New Roman" w:eastAsia="Times New Roman" w:hAnsi="Times New Roman"/>
            <w:sz w:val="18"/>
            <w:szCs w:val="18"/>
            <w:u w:val="single" w:color="auto"/>
            <w:color w:val="0000FF"/>
          </w:rPr>
          <w:t>servicer, Virtus Group, LP, as collateral administrator and Citibank,</w:t>
        </w:r>
      </w:hyperlink>
      <w:r>
        <w:rPr>
          <w:rFonts w:ascii="Times New Roman" w:cs="Times New Roman" w:eastAsia="Times New Roman" w:hAnsi="Times New Roman"/>
          <w:sz w:val="18"/>
          <w:szCs w:val="18"/>
          <w:u w:val="single" w:color="auto"/>
          <w:color w:val="0000FF"/>
        </w:rPr>
        <w:t xml:space="preserve"> </w:t>
      </w:r>
      <w:hyperlink r:id="rId440">
        <w:r>
          <w:rPr>
            <w:rFonts w:ascii="Times New Roman" w:cs="Times New Roman" w:eastAsia="Times New Roman" w:hAnsi="Times New Roman"/>
            <w:sz w:val="18"/>
            <w:szCs w:val="18"/>
            <w:u w:val="single" w:color="auto"/>
            <w:color w:val="0000FF"/>
          </w:rPr>
          <w:t>N.A., as collateral agent, dated as of February 18, 2026.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-707390</wp:posOffset>
            </wp:positionV>
            <wp:extent cx="321754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321754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-570230</wp:posOffset>
            </wp:positionV>
            <wp:extent cx="286829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28682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-433070</wp:posOffset>
            </wp:positionV>
            <wp:extent cx="294830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2948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-295910</wp:posOffset>
            </wp:positionV>
            <wp:extent cx="28371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283718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-158750</wp:posOffset>
            </wp:positionV>
            <wp:extent cx="31318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313182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-21590</wp:posOffset>
            </wp:positionV>
            <wp:extent cx="255397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2553970" cy="8890"/>
                    </a:xfrm>
                    <a:prstGeom prst="rect">
                      <a:avLst/>
                    </a:prstGeom>
                    <a:noFill/>
                  </pic:spPr>
                </pic:pic>
              </a:graphicData>
            </a:graphic>
          </wp:anchor>
        </w:drawing>
      </w:r>
    </w:p>
    <w:p>
      <w:pPr>
        <w:ind w:right="280"/>
        <w:spacing w:after="0" w:line="290" w:lineRule="auto"/>
        <w:rPr>
          <w:rFonts w:ascii="Times New Roman" w:cs="Times New Roman" w:eastAsia="Times New Roman" w:hAnsi="Times New Roman"/>
          <w:sz w:val="17"/>
          <w:szCs w:val="17"/>
          <w:u w:val="single" w:color="auto"/>
          <w:color w:val="0000FF"/>
        </w:rPr>
      </w:pPr>
      <w:hyperlink r:id="rId447">
        <w:r>
          <w:rPr>
            <w:rFonts w:ascii="Times New Roman" w:cs="Times New Roman" w:eastAsia="Times New Roman" w:hAnsi="Times New Roman"/>
            <w:sz w:val="17"/>
            <w:szCs w:val="17"/>
            <w:u w:val="single" w:color="auto"/>
            <w:color w:val="0000FF"/>
          </w:rPr>
          <w:t>Amendment Eight to the Business Loan Agreement between OFS</w:t>
        </w:r>
      </w:hyperlink>
      <w:r>
        <w:rPr>
          <w:rFonts w:ascii="Times New Roman" w:cs="Times New Roman" w:eastAsia="Times New Roman" w:hAnsi="Times New Roman"/>
          <w:sz w:val="17"/>
          <w:szCs w:val="17"/>
          <w:u w:val="single" w:color="auto"/>
          <w:color w:val="0000FF"/>
        </w:rPr>
        <w:t xml:space="preserve"> </w:t>
      </w:r>
      <w:hyperlink r:id="rId447">
        <w:r>
          <w:rPr>
            <w:rFonts w:ascii="Times New Roman" w:cs="Times New Roman" w:eastAsia="Times New Roman" w:hAnsi="Times New Roman"/>
            <w:sz w:val="17"/>
            <w:szCs w:val="17"/>
            <w:u w:val="single" w:color="auto"/>
            <w:color w:val="0000FF"/>
          </w:rPr>
          <w:t>Capital Corporation and Banc of California dated January 9,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30365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303657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-50800</wp:posOffset>
            </wp:positionV>
            <wp:extent cx="301434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30143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300" w:val="left"/>
        </w:tabs>
        <w:rPr>
          <w:sz w:val="20"/>
          <w:szCs w:val="20"/>
          <w:color w:val="auto"/>
        </w:rPr>
      </w:pPr>
      <w:r>
        <w:rPr>
          <w:rFonts w:ascii="Times New Roman" w:cs="Times New Roman" w:eastAsia="Times New Roman" w:hAnsi="Times New Roman"/>
          <w:sz w:val="18"/>
          <w:szCs w:val="18"/>
          <w:color w:val="auto"/>
        </w:rPr>
        <w:t>Form N-2/A (333-166363)</w:t>
      </w:r>
      <w:r>
        <w:rPr>
          <w:sz w:val="20"/>
          <w:szCs w:val="20"/>
          <w:color w:val="auto"/>
        </w:rPr>
        <w:tab/>
      </w:r>
      <w:r>
        <w:rPr>
          <w:rFonts w:ascii="Times New Roman" w:cs="Times New Roman" w:eastAsia="Times New Roman" w:hAnsi="Times New Roman"/>
          <w:sz w:val="17"/>
          <w:szCs w:val="17"/>
          <w:color w:val="auto"/>
        </w:rPr>
        <w:t>March 18, 2011</w:t>
      </w:r>
    </w:p>
    <w:p>
      <w:pPr>
        <w:spacing w:after="0" w:line="90" w:lineRule="exact"/>
        <w:rPr>
          <w:sz w:val="20"/>
          <w:szCs w:val="20"/>
          <w:color w:val="auto"/>
        </w:rPr>
      </w:pPr>
    </w:p>
    <w:p>
      <w:pPr>
        <w:ind w:left="140"/>
        <w:spacing w:after="0"/>
        <w:tabs>
          <w:tab w:leader="none" w:pos="2420" w:val="left"/>
        </w:tabs>
        <w:rPr>
          <w:sz w:val="20"/>
          <w:szCs w:val="20"/>
          <w:color w:val="auto"/>
        </w:rPr>
      </w:pPr>
      <w:r>
        <w:rPr>
          <w:rFonts w:ascii="Times New Roman" w:cs="Times New Roman" w:eastAsia="Times New Roman" w:hAnsi="Times New Roman"/>
          <w:sz w:val="18"/>
          <w:szCs w:val="18"/>
          <w:color w:val="auto"/>
        </w:rPr>
        <w:t>Form 8-K (814-00813)</w:t>
      </w:r>
      <w:r>
        <w:rPr>
          <w:sz w:val="20"/>
          <w:szCs w:val="20"/>
          <w:color w:val="auto"/>
        </w:rPr>
        <w:tab/>
      </w:r>
      <w:r>
        <w:rPr>
          <w:rFonts w:ascii="Times New Roman" w:cs="Times New Roman" w:eastAsia="Times New Roman" w:hAnsi="Times New Roman"/>
          <w:sz w:val="17"/>
          <w:szCs w:val="17"/>
          <w:color w:val="auto"/>
        </w:rPr>
        <w:t>February 20,</w:t>
      </w:r>
    </w:p>
    <w:p>
      <w:pPr>
        <w:spacing w:after="0" w:line="3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0"/>
        <w:spacing w:after="0"/>
        <w:tabs>
          <w:tab w:leader="none" w:pos="2300" w:val="left"/>
        </w:tabs>
        <w:rPr>
          <w:sz w:val="20"/>
          <w:szCs w:val="20"/>
          <w:color w:val="auto"/>
        </w:rPr>
      </w:pPr>
      <w:r>
        <w:rPr>
          <w:rFonts w:ascii="Times New Roman" w:cs="Times New Roman" w:eastAsia="Times New Roman" w:hAnsi="Times New Roman"/>
          <w:sz w:val="18"/>
          <w:szCs w:val="18"/>
          <w:color w:val="auto"/>
        </w:rPr>
        <w:t>Form 8-K (814-00813)</w:t>
      </w:r>
      <w:r>
        <w:rPr>
          <w:sz w:val="20"/>
          <w:szCs w:val="20"/>
          <w:color w:val="auto"/>
        </w:rPr>
        <w:tab/>
      </w:r>
      <w:r>
        <w:rPr>
          <w:rFonts w:ascii="Times New Roman" w:cs="Times New Roman" w:eastAsia="Times New Roman" w:hAnsi="Times New Roman"/>
          <w:sz w:val="17"/>
          <w:szCs w:val="17"/>
          <w:color w:val="auto"/>
        </w:rPr>
        <w:t>January 9, 2026</w:t>
      </w:r>
    </w:p>
    <w:p>
      <w:pPr>
        <w:spacing w:after="0" w:line="230" w:lineRule="exact"/>
        <w:rPr>
          <w:sz w:val="20"/>
          <w:szCs w:val="20"/>
          <w:color w:val="auto"/>
        </w:rPr>
      </w:pPr>
    </w:p>
    <w:p>
      <w:pPr>
        <w:sectPr>
          <w:pgSz w:w="11900" w:h="16838" w:orient="portrait"/>
          <w:cols w:equalWidth="0" w:num="3">
            <w:col w:w="680" w:space="460"/>
            <w:col w:w="5020" w:space="220"/>
            <w:col w:w="4860"/>
          </w:cols>
          <w:pgMar w:left="320" w:top="981" w:right="339" w:bottom="1440" w:gutter="0" w:footer="0" w:header="0"/>
          <w:type w:val="continuous"/>
        </w:sectPr>
      </w:pP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14.1</w:t>
      </w:r>
    </w:p>
    <w:p>
      <w:pPr>
        <w:spacing w:after="0" w:line="3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Amendment Nine to the Business Loan Agreement between OFS</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Form 8-K (814-00813)</w:t>
            </w:r>
          </w:p>
        </w:tc>
        <w:tc>
          <w:tcPr>
            <w:tcW w:w="14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w w:val="97"/>
              </w:rPr>
              <w:t>March 27, 2026</w:t>
            </w:r>
          </w:p>
        </w:tc>
        <w:tc>
          <w:tcPr>
            <w:tcW w:w="0" w:type="dxa"/>
            <w:vAlign w:val="bottom"/>
          </w:tcPr>
          <w:p>
            <w:pPr>
              <w:spacing w:after="0"/>
              <w:rPr>
                <w:sz w:val="1"/>
                <w:szCs w:val="1"/>
                <w:color w:val="auto"/>
              </w:rPr>
            </w:pPr>
          </w:p>
        </w:tc>
      </w:tr>
      <w:tr>
        <w:trPr>
          <w:trHeight w:val="75"/>
        </w:trPr>
        <w:tc>
          <w:tcPr>
            <w:tcW w:w="4640" w:type="dxa"/>
            <w:vAlign w:val="bottom"/>
            <w:gridSpan w:val="6"/>
            <w:vMerge w:val="restart"/>
          </w:tcPr>
          <w:p>
            <w:pPr>
              <w:spacing w:after="0" w:line="196" w:lineRule="exact"/>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Capital Corporation and Banc of California (formerly known as</w:t>
              </w:r>
            </w:hyperlink>
          </w:p>
        </w:tc>
        <w:tc>
          <w:tcPr>
            <w:tcW w:w="440" w:type="dxa"/>
            <w:vAlign w:val="bottom"/>
            <w:gridSpan w:val="4"/>
            <w:vMerge w:val="restart"/>
          </w:tcPr>
          <w:p>
            <w:pPr>
              <w:spacing w:after="0"/>
              <w:rPr>
                <w:sz w:val="6"/>
                <w:szCs w:val="6"/>
                <w:color w:val="auto"/>
              </w:rPr>
            </w:pPr>
          </w:p>
        </w:tc>
        <w:tc>
          <w:tcPr>
            <w:tcW w:w="22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4640" w:type="dxa"/>
            <w:vAlign w:val="bottom"/>
            <w:tcBorders>
              <w:bottom w:val="single" w:sz="8" w:color="0000FF"/>
            </w:tcBorders>
            <w:gridSpan w:val="6"/>
            <w:vMerge w:val="continue"/>
          </w:tcPr>
          <w:p>
            <w:pPr>
              <w:spacing w:after="0"/>
              <w:rPr>
                <w:sz w:val="10"/>
                <w:szCs w:val="10"/>
                <w:color w:val="auto"/>
              </w:rPr>
            </w:pPr>
          </w:p>
        </w:tc>
        <w:tc>
          <w:tcPr>
            <w:tcW w:w="440" w:type="dxa"/>
            <w:vAlign w:val="bottom"/>
            <w:gridSpan w:val="4"/>
            <w:vMerge w:val="continue"/>
          </w:tcPr>
          <w:p>
            <w:pPr>
              <w:spacing w:after="0"/>
              <w:rPr>
                <w:sz w:val="10"/>
                <w:szCs w:val="10"/>
                <w:color w:val="auto"/>
              </w:rPr>
            </w:pPr>
          </w:p>
        </w:tc>
        <w:tc>
          <w:tcPr>
            <w:tcW w:w="2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450">
              <w:r>
                <w:rPr>
                  <w:rFonts w:ascii="Times New Roman" w:cs="Times New Roman" w:eastAsia="Times New Roman" w:hAnsi="Times New Roman"/>
                  <w:sz w:val="18"/>
                  <w:szCs w:val="18"/>
                  <w:color w:val="0000FF"/>
                  <w:w w:val="99"/>
                </w:rPr>
                <w:t>Pacific Western Bank) dated March 27, 2026</w:t>
              </w:r>
            </w:hyperlink>
          </w:p>
        </w:tc>
        <w:tc>
          <w:tcPr>
            <w:tcW w:w="20" w:type="dxa"/>
            <w:vAlign w:val="bottom"/>
            <w:tcBorders>
              <w:bottom w:val="single" w:sz="8" w:color="0000EE"/>
            </w:tcBorders>
          </w:tcPr>
          <w:p>
            <w:pPr>
              <w:spacing w:after="0"/>
              <w:rPr>
                <w:sz w:val="17"/>
                <w:szCs w:val="17"/>
                <w:color w:val="auto"/>
              </w:rPr>
            </w:pPr>
          </w:p>
        </w:tc>
        <w:tc>
          <w:tcPr>
            <w:tcW w:w="1800" w:type="dxa"/>
            <w:vAlign w:val="bottom"/>
            <w:gridSpan w:val="8"/>
          </w:tcPr>
          <w:p>
            <w:pPr>
              <w:spacing w:after="0"/>
              <w:rPr>
                <w:sz w:val="17"/>
                <w:szCs w:val="17"/>
                <w:color w:val="auto"/>
              </w:rPr>
            </w:pPr>
          </w:p>
        </w:tc>
        <w:tc>
          <w:tcPr>
            <w:tcW w:w="2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Joint Code of Ethics of OFS Capital Corporation and OFS Advisor</w:t>
            </w:r>
          </w:p>
        </w:tc>
        <w:tc>
          <w:tcPr>
            <w:tcW w:w="20" w:type="dxa"/>
            <w:vAlign w:val="bottom"/>
            <w:tcBorders>
              <w:bottom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5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 and</w:t>
            </w:r>
          </w:p>
        </w:tc>
        <w:tc>
          <w:tcPr>
            <w:tcW w:w="2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15d-14(a) of the Securities Exchange Act of 1934, as Adopted</w:t>
            </w:r>
          </w:p>
        </w:tc>
        <w:tc>
          <w:tcPr>
            <w:tcW w:w="540" w:type="dxa"/>
            <w:vAlign w:val="bottom"/>
            <w:gridSpan w:val="5"/>
          </w:tcPr>
          <w:p>
            <w:pPr>
              <w:spacing w:after="0"/>
              <w:rPr>
                <w:sz w:val="17"/>
                <w:szCs w:val="17"/>
                <w:color w:val="auto"/>
              </w:rPr>
            </w:pPr>
          </w:p>
        </w:tc>
        <w:tc>
          <w:tcPr>
            <w:tcW w:w="2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w:t>
            </w:r>
          </w:p>
        </w:tc>
        <w:tc>
          <w:tcPr>
            <w:tcW w:w="20" w:type="dxa"/>
            <w:vAlign w:val="bottom"/>
            <w:tcBorders>
              <w:bottom w:val="single" w:sz="8" w:color="0000EE"/>
            </w:tcBorders>
          </w:tcPr>
          <w:p>
            <w:pPr>
              <w:spacing w:after="0"/>
              <w:rPr>
                <w:sz w:val="17"/>
                <w:szCs w:val="17"/>
                <w:color w:val="auto"/>
              </w:rPr>
            </w:pPr>
          </w:p>
        </w:tc>
        <w:tc>
          <w:tcPr>
            <w:tcW w:w="1380" w:type="dxa"/>
            <w:vAlign w:val="bottom"/>
            <w:gridSpan w:val="6"/>
          </w:tcPr>
          <w:p>
            <w:pPr>
              <w:spacing w:after="0"/>
              <w:rPr>
                <w:sz w:val="17"/>
                <w:szCs w:val="17"/>
                <w:color w:val="auto"/>
              </w:rPr>
            </w:pPr>
          </w:p>
        </w:tc>
        <w:tc>
          <w:tcPr>
            <w:tcW w:w="2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9" w:lineRule="exact"/>
        <w:rPr>
          <w:sz w:val="20"/>
          <w:szCs w:val="20"/>
          <w:color w:val="auto"/>
        </w:rPr>
      </w:pPr>
    </w:p>
    <w:p>
      <w:pPr>
        <w:sectPr>
          <w:pgSz w:w="11900" w:h="16838" w:orient="portrait"/>
          <w:cols w:equalWidth="0" w:num="3">
            <w:col w:w="680" w:space="460"/>
            <w:col w:w="8740" w:space="720"/>
            <w:col w:w="640"/>
          </w:cols>
          <w:pgMar w:left="320" w:top="981" w:right="339" w:bottom="1440" w:gutter="0" w:footer="0" w:header="0"/>
          <w:type w:val="continuous"/>
        </w:sectPr>
      </w:pPr>
    </w:p>
    <w:tbl>
      <w:tblPr>
        <w:tblLayout w:type="fixed"/>
        <w:tblInd w:w="360" w:type="dxa"/>
        <w:tblCellMar>
          <w:top w:w="0" w:type="dxa"/>
          <w:left w:w="0" w:type="dxa"/>
          <w:bottom w:w="0" w:type="dxa"/>
          <w:right w:w="0" w:type="dxa"/>
        </w:tblCellMar>
      </w:tblPr>
      <w:tr>
        <w:trPr>
          <w:trHeight w:val="207"/>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31.2</w:t>
            </w:r>
          </w:p>
        </w:tc>
        <w:tc>
          <w:tcPr>
            <w:tcW w:w="5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 and</w:t>
            </w:r>
          </w:p>
        </w:tc>
        <w:tc>
          <w:tcPr>
            <w:tcW w:w="60" w:type="dxa"/>
            <w:vAlign w:val="bottom"/>
          </w:tcPr>
          <w:p>
            <w:pPr>
              <w:spacing w:after="0"/>
              <w:rPr>
                <w:sz w:val="18"/>
                <w:szCs w:val="18"/>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80" w:type="dxa"/>
            <w:vAlign w:val="bottom"/>
          </w:tcPr>
          <w:p>
            <w:pPr>
              <w:spacing w:after="0"/>
              <w:rPr>
                <w:sz w:val="17"/>
                <w:szCs w:val="17"/>
                <w:color w:val="auto"/>
              </w:rPr>
            </w:pPr>
          </w:p>
        </w:tc>
        <w:tc>
          <w:tcPr>
            <w:tcW w:w="45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15d-14(a) of the Securities Exchange Act of 1934, as Adopted</w:t>
            </w:r>
          </w:p>
        </w:tc>
        <w:tc>
          <w:tcPr>
            <w:tcW w:w="540" w:type="dxa"/>
            <w:vAlign w:val="bottom"/>
            <w:gridSpan w:val="2"/>
          </w:tcPr>
          <w:p>
            <w:pPr>
              <w:spacing w:after="0"/>
              <w:rPr>
                <w:sz w:val="17"/>
                <w:szCs w:val="17"/>
                <w:color w:val="auto"/>
              </w:rPr>
            </w:pPr>
          </w:p>
        </w:tc>
        <w:tc>
          <w:tcPr>
            <w:tcW w:w="44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6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w:t>
            </w:r>
          </w:p>
        </w:tc>
        <w:tc>
          <w:tcPr>
            <w:tcW w:w="20" w:type="dxa"/>
            <w:vAlign w:val="bottom"/>
            <w:tcBorders>
              <w:bottom w:val="single" w:sz="8" w:color="0000EE"/>
            </w:tcBorders>
          </w:tcPr>
          <w:p>
            <w:pPr>
              <w:spacing w:after="0"/>
              <w:rPr>
                <w:sz w:val="17"/>
                <w:szCs w:val="17"/>
                <w:color w:val="auto"/>
              </w:rPr>
            </w:pPr>
          </w:p>
        </w:tc>
        <w:tc>
          <w:tcPr>
            <w:tcW w:w="1380" w:type="dxa"/>
            <w:vAlign w:val="bottom"/>
            <w:gridSpan w:val="3"/>
          </w:tcPr>
          <w:p>
            <w:pPr>
              <w:spacing w:after="0"/>
              <w:rPr>
                <w:sz w:val="17"/>
                <w:szCs w:val="17"/>
                <w:color w:val="auto"/>
              </w:rPr>
            </w:pPr>
          </w:p>
        </w:tc>
        <w:tc>
          <w:tcPr>
            <w:tcW w:w="4480" w:type="dxa"/>
            <w:vAlign w:val="bottom"/>
          </w:tcPr>
          <w:p>
            <w:pPr>
              <w:spacing w:after="0"/>
              <w:rPr>
                <w:sz w:val="17"/>
                <w:szCs w:val="17"/>
                <w:color w:val="auto"/>
              </w:rPr>
            </w:pPr>
          </w:p>
        </w:tc>
      </w:tr>
      <w:tr>
        <w:trPr>
          <w:trHeight w:val="277"/>
        </w:trPr>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5"/>
              </w:rPr>
              <w:t>32.1</w:t>
            </w:r>
          </w:p>
        </w:tc>
        <w:tc>
          <w:tcPr>
            <w:tcW w:w="5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80" w:type="dxa"/>
            <w:vAlign w:val="bottom"/>
          </w:tcPr>
          <w:p>
            <w:pPr>
              <w:spacing w:after="0"/>
              <w:rPr>
                <w:sz w:val="17"/>
                <w:szCs w:val="17"/>
                <w:color w:val="auto"/>
              </w:rPr>
            </w:pPr>
          </w:p>
        </w:tc>
        <w:tc>
          <w:tcPr>
            <w:tcW w:w="50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w:t>
            </w:r>
          </w:p>
        </w:tc>
        <w:tc>
          <w:tcPr>
            <w:tcW w:w="6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of 2002</w:t>
            </w:r>
          </w:p>
        </w:tc>
        <w:tc>
          <w:tcPr>
            <w:tcW w:w="20" w:type="dxa"/>
            <w:vAlign w:val="bottom"/>
            <w:tcBorders>
              <w:bottom w:val="single" w:sz="8" w:color="0000EE"/>
            </w:tcBorders>
          </w:tcPr>
          <w:p>
            <w:pPr>
              <w:spacing w:after="0"/>
              <w:rPr>
                <w:sz w:val="17"/>
                <w:szCs w:val="17"/>
                <w:color w:val="auto"/>
              </w:rPr>
            </w:pPr>
          </w:p>
        </w:tc>
        <w:tc>
          <w:tcPr>
            <w:tcW w:w="4500" w:type="dxa"/>
            <w:vAlign w:val="bottom"/>
            <w:gridSpan w:val="5"/>
          </w:tcPr>
          <w:p>
            <w:pPr>
              <w:spacing w:after="0"/>
              <w:rPr>
                <w:sz w:val="17"/>
                <w:szCs w:val="17"/>
                <w:color w:val="auto"/>
              </w:rPr>
            </w:pPr>
          </w:p>
        </w:tc>
        <w:tc>
          <w:tcPr>
            <w:tcW w:w="4480" w:type="dxa"/>
            <w:vAlign w:val="bottom"/>
          </w:tcPr>
          <w:p>
            <w:pPr>
              <w:spacing w:after="0"/>
              <w:rPr>
                <w:sz w:val="17"/>
                <w:szCs w:val="17"/>
                <w:color w:val="auto"/>
              </w:rPr>
            </w:pPr>
          </w:p>
        </w:tc>
      </w:tr>
    </w:tbl>
    <w:p>
      <w:pPr>
        <w:spacing w:after="0" w:line="77" w:lineRule="exact"/>
        <w:rPr>
          <w:sz w:val="20"/>
          <w:szCs w:val="20"/>
          <w:color w:val="auto"/>
        </w:rPr>
      </w:pPr>
    </w:p>
    <w:p>
      <w:pPr>
        <w:sectPr>
          <w:pgSz w:w="11900" w:h="16838" w:orient="portrait"/>
          <w:cols w:equalWidth="0" w:num="1">
            <w:col w:w="11240"/>
          </w:cols>
          <w:pgMar w:left="320" w:top="981" w:right="33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32.2</w:t>
            </w:r>
          </w:p>
        </w:tc>
        <w:tc>
          <w:tcPr>
            <w:tcW w:w="5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w:t>
            </w:r>
          </w:p>
        </w:tc>
        <w:tc>
          <w:tcPr>
            <w:tcW w:w="20" w:type="dxa"/>
            <w:vAlign w:val="bottom"/>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50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w:t>
            </w:r>
          </w:p>
        </w:tc>
        <w:tc>
          <w:tcPr>
            <w:tcW w:w="6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of 2002</w:t>
            </w:r>
          </w:p>
        </w:tc>
        <w:tc>
          <w:tcPr>
            <w:tcW w:w="20" w:type="dxa"/>
            <w:vAlign w:val="bottom"/>
            <w:tcBorders>
              <w:bottom w:val="single" w:sz="8" w:color="0000EE"/>
            </w:tcBorders>
          </w:tcPr>
          <w:p>
            <w:pPr>
              <w:spacing w:after="0"/>
              <w:rPr>
                <w:sz w:val="17"/>
                <w:szCs w:val="17"/>
                <w:color w:val="auto"/>
              </w:rPr>
            </w:pPr>
          </w:p>
        </w:tc>
        <w:tc>
          <w:tcPr>
            <w:tcW w:w="4500" w:type="dxa"/>
            <w:vAlign w:val="bottom"/>
            <w:gridSpan w:val="3"/>
          </w:tcPr>
          <w:p>
            <w:pPr>
              <w:spacing w:after="0"/>
              <w:rPr>
                <w:sz w:val="17"/>
                <w:szCs w:val="17"/>
                <w:color w:val="auto"/>
              </w:rPr>
            </w:pPr>
          </w:p>
        </w:tc>
      </w:tr>
      <w:tr>
        <w:trPr>
          <w:trHeight w:val="263"/>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101.INS</w:t>
            </w:r>
          </w:p>
        </w:tc>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r>
      <w:tr>
        <w:trPr>
          <w:trHeight w:val="198"/>
        </w:trPr>
        <w:tc>
          <w:tcPr>
            <w:tcW w:w="960" w:type="dxa"/>
            <w:vAlign w:val="bottom"/>
          </w:tcPr>
          <w:p>
            <w:pPr>
              <w:spacing w:after="0"/>
              <w:rPr>
                <w:sz w:val="17"/>
                <w:szCs w:val="17"/>
                <w:color w:val="auto"/>
              </w:rPr>
            </w:pPr>
          </w:p>
        </w:tc>
        <w:tc>
          <w:tcPr>
            <w:tcW w:w="50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appear in the Interactive Data File because XBRL tags are embedded</w:t>
            </w:r>
          </w:p>
        </w:tc>
      </w:tr>
      <w:tr>
        <w:trPr>
          <w:trHeight w:val="216"/>
        </w:trPr>
        <w:tc>
          <w:tcPr>
            <w:tcW w:w="960" w:type="dxa"/>
            <w:vAlign w:val="bottom"/>
          </w:tcPr>
          <w:p>
            <w:pPr>
              <w:spacing w:after="0"/>
              <w:rPr>
                <w:sz w:val="18"/>
                <w:szCs w:val="18"/>
                <w:color w:val="auto"/>
              </w:rPr>
            </w:pPr>
          </w:p>
        </w:tc>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101.SCH</w:t>
            </w:r>
          </w:p>
        </w:tc>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 With Embedded Linkbase</w:t>
            </w:r>
          </w:p>
        </w:tc>
      </w:tr>
      <w:tr>
        <w:trPr>
          <w:trHeight w:val="234"/>
        </w:trPr>
        <w:tc>
          <w:tcPr>
            <w:tcW w:w="960" w:type="dxa"/>
            <w:vAlign w:val="bottom"/>
          </w:tcPr>
          <w:p>
            <w:pPr>
              <w:spacing w:after="0"/>
              <w:rPr>
                <w:sz w:val="20"/>
                <w:szCs w:val="20"/>
                <w:color w:val="auto"/>
              </w:rPr>
            </w:pPr>
          </w:p>
        </w:tc>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Documents</w:t>
            </w:r>
          </w:p>
        </w:tc>
      </w:tr>
    </w:tbl>
    <w:p>
      <w:pPr>
        <w:spacing w:after="0" w:line="17" w:lineRule="exact"/>
        <w:rPr>
          <w:sz w:val="20"/>
          <w:szCs w:val="20"/>
          <w:color w:val="auto"/>
        </w:rPr>
      </w:pPr>
    </w:p>
    <w:p>
      <w:pPr>
        <w:ind w:left="1140" w:right="3780" w:hanging="761"/>
        <w:spacing w:after="0" w:line="282" w:lineRule="auto"/>
        <w:tabs>
          <w:tab w:leader="none" w:pos="11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8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880" w:space="720"/>
            <w:col w:w="640"/>
          </w:cols>
          <w:pgMar w:left="320" w:top="981"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30, 2026</w:t>
            </w:r>
          </w:p>
        </w:tc>
        <w:tc>
          <w:tcPr>
            <w:tcW w:w="76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OFS CAPITAL CORPORATION</w:t>
            </w:r>
          </w:p>
        </w:tc>
      </w:tr>
      <w:tr>
        <w:trPr>
          <w:trHeight w:val="614"/>
        </w:trPr>
        <w:tc>
          <w:tcPr>
            <w:tcW w:w="3560" w:type="dxa"/>
            <w:vAlign w:val="bottom"/>
          </w:tcPr>
          <w:p>
            <w:pPr>
              <w:spacing w:after="0"/>
              <w:rPr>
                <w:sz w:val="24"/>
                <w:szCs w:val="24"/>
                <w:color w:val="auto"/>
              </w:rPr>
            </w:pPr>
          </w:p>
        </w:tc>
        <w:tc>
          <w:tcPr>
            <w:tcW w:w="2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Bilal Rashid</w:t>
            </w:r>
          </w:p>
        </w:tc>
      </w:tr>
      <w:tr>
        <w:trPr>
          <w:trHeight w:val="243"/>
        </w:trPr>
        <w:tc>
          <w:tcPr>
            <w:tcW w:w="3560" w:type="dxa"/>
            <w:vAlign w:val="bottom"/>
          </w:tcPr>
          <w:p>
            <w:pPr>
              <w:spacing w:after="0"/>
              <w:rPr>
                <w:sz w:val="21"/>
                <w:szCs w:val="21"/>
                <w:color w:val="auto"/>
              </w:rPr>
            </w:pPr>
          </w:p>
        </w:tc>
        <w:tc>
          <w:tcPr>
            <w:tcW w:w="2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Bilal Rashid</w:t>
            </w:r>
          </w:p>
        </w:tc>
      </w:tr>
      <w:tr>
        <w:trPr>
          <w:trHeight w:val="297"/>
        </w:trPr>
        <w:tc>
          <w:tcPr>
            <w:tcW w:w="3560" w:type="dxa"/>
            <w:vAlign w:val="bottom"/>
          </w:tcPr>
          <w:p>
            <w:pPr>
              <w:spacing w:after="0"/>
              <w:rPr>
                <w:sz w:val="24"/>
                <w:szCs w:val="24"/>
                <w:color w:val="auto"/>
              </w:rPr>
            </w:pPr>
          </w:p>
        </w:tc>
        <w:tc>
          <w:tcPr>
            <w:tcW w:w="2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14"/>
        </w:trPr>
        <w:tc>
          <w:tcPr>
            <w:tcW w:w="3560" w:type="dxa"/>
            <w:vAlign w:val="bottom"/>
          </w:tcPr>
          <w:p>
            <w:pPr>
              <w:spacing w:after="0"/>
              <w:rPr>
                <w:sz w:val="24"/>
                <w:szCs w:val="24"/>
                <w:color w:val="auto"/>
              </w:rPr>
            </w:pPr>
          </w:p>
        </w:tc>
        <w:tc>
          <w:tcPr>
            <w:tcW w:w="2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 Spina</w:t>
            </w:r>
          </w:p>
        </w:tc>
      </w:tr>
      <w:tr>
        <w:trPr>
          <w:trHeight w:val="243"/>
        </w:trPr>
        <w:tc>
          <w:tcPr>
            <w:tcW w:w="3560" w:type="dxa"/>
            <w:vAlign w:val="bottom"/>
          </w:tcPr>
          <w:p>
            <w:pPr>
              <w:spacing w:after="0"/>
              <w:rPr>
                <w:sz w:val="21"/>
                <w:szCs w:val="21"/>
                <w:color w:val="auto"/>
              </w:rPr>
            </w:pPr>
          </w:p>
        </w:tc>
        <w:tc>
          <w:tcPr>
            <w:tcW w:w="2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Kyle Spina</w:t>
            </w:r>
          </w:p>
        </w:tc>
      </w:tr>
      <w:tr>
        <w:trPr>
          <w:trHeight w:val="297"/>
        </w:trPr>
        <w:tc>
          <w:tcPr>
            <w:tcW w:w="3560" w:type="dxa"/>
            <w:vAlign w:val="bottom"/>
          </w:tcPr>
          <w:p>
            <w:pPr>
              <w:spacing w:after="0"/>
              <w:rPr>
                <w:sz w:val="24"/>
                <w:szCs w:val="24"/>
                <w:color w:val="auto"/>
              </w:rPr>
            </w:pPr>
          </w:p>
        </w:tc>
        <w:tc>
          <w:tcPr>
            <w:tcW w:w="2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60" w:type="dxa"/>
            <w:vAlign w:val="bottom"/>
          </w:tcPr>
          <w:p>
            <w:pPr>
              <w:spacing w:after="0"/>
              <w:rPr>
                <w:sz w:val="24"/>
                <w:szCs w:val="24"/>
                <w:color w:val="auto"/>
              </w:rPr>
            </w:pP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63</w:t>
            </w:r>
          </w:p>
        </w:tc>
        <w:tc>
          <w:tcPr>
            <w:tcW w:w="5040" w:type="dxa"/>
            <w:vAlign w:val="bottom"/>
          </w:tcPr>
          <w:p>
            <w:pPr>
              <w:spacing w:after="0"/>
              <w:rPr>
                <w:sz w:val="24"/>
                <w:szCs w:val="24"/>
                <w:color w:val="auto"/>
              </w:rPr>
            </w:pPr>
          </w:p>
        </w:tc>
      </w:tr>
      <w:tr>
        <w:trPr>
          <w:trHeight w:val="763"/>
        </w:trPr>
        <w:tc>
          <w:tcPr>
            <w:tcW w:w="35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549275</wp:posOffset>
            </wp:positionH>
            <wp:positionV relativeFrom="page">
              <wp:posOffset>88900</wp:posOffset>
            </wp:positionV>
            <wp:extent cx="6459220" cy="72974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4">
                      <a:extLst>
                        <a:ext uri="{28A0092B-C50C-407E-A947-70E740481C1C}"/>
                      </a:extLst>
                    </a:blip>
                    <a:srcRect/>
                    <a:stretch>
                      <a:fillRect/>
                    </a:stretch>
                  </pic:blipFill>
                  <pic:spPr bwMode="auto">
                    <a:xfrm>
                      <a:off x="0" y="0"/>
                      <a:ext cx="6459220" cy="7297420"/>
                    </a:xfrm>
                    <a:prstGeom prst="rect">
                      <a:avLst/>
                    </a:prstGeom>
                    <a:noFill/>
                  </pic:spPr>
                </pic:pic>
              </a:graphicData>
            </a:graphic>
          </wp:anchor>
        </w:drawing>
        <w:t>Exhibit 14.1</w:t>
      </w:r>
    </w:p>
    <w:p>
      <w:pPr>
        <w:spacing w:after="0" w:line="22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40"/>
          <w:szCs w:val="40"/>
          <w:b w:val="1"/>
          <w:bCs w:val="1"/>
          <w:color w:val="auto"/>
        </w:rPr>
        <w:t>OFS Capital Management, LLC</w:t>
      </w:r>
    </w:p>
    <w:p>
      <w:pPr>
        <w:spacing w:after="0" w:line="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40"/>
          <w:szCs w:val="40"/>
          <w:b w:val="1"/>
          <w:bCs w:val="1"/>
          <w:color w:val="auto"/>
        </w:rPr>
        <w:t>OFS CLO Management, LLC</w:t>
      </w:r>
    </w:p>
    <w:p>
      <w:pPr>
        <w:spacing w:after="0" w:line="1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40"/>
          <w:szCs w:val="40"/>
          <w:b w:val="1"/>
          <w:bCs w:val="1"/>
          <w:color w:val="auto"/>
        </w:rPr>
        <w:t>OFS CLO Management II, LLC</w:t>
      </w:r>
    </w:p>
    <w:p>
      <w:pPr>
        <w:spacing w:after="0" w:line="6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40"/>
          <w:szCs w:val="40"/>
          <w:b w:val="1"/>
          <w:bCs w:val="1"/>
          <w:color w:val="auto"/>
        </w:rPr>
        <w:t>OFS CLO Management III, LLC</w:t>
      </w:r>
    </w:p>
    <w:p>
      <w:pPr>
        <w:spacing w:after="0" w:line="5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40"/>
          <w:szCs w:val="40"/>
          <w:b w:val="1"/>
          <w:bCs w:val="1"/>
          <w:color w:val="auto"/>
        </w:rPr>
        <w:t>OFS Capital Corporation</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0"/>
          <w:szCs w:val="40"/>
          <w:b w:val="1"/>
          <w:bCs w:val="1"/>
          <w:color w:val="auto"/>
        </w:rPr>
        <w:t>OFS Credit Company, Inc.</w:t>
      </w:r>
    </w:p>
    <w:p>
      <w:pPr>
        <w:jc w:val="center"/>
        <w:ind w:right="120"/>
        <w:spacing w:after="0"/>
        <w:rPr>
          <w:sz w:val="20"/>
          <w:szCs w:val="20"/>
          <w:color w:val="auto"/>
        </w:rPr>
      </w:pPr>
      <w:r>
        <w:rPr>
          <w:rFonts w:ascii="Times New Roman" w:cs="Times New Roman" w:eastAsia="Times New Roman" w:hAnsi="Times New Roman"/>
          <w:sz w:val="40"/>
          <w:szCs w:val="40"/>
          <w:b w:val="1"/>
          <w:bCs w:val="1"/>
          <w:color w:val="auto"/>
        </w:rPr>
        <w:t>Hancock Park Corporate Income,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0"/>
          <w:szCs w:val="40"/>
          <w:b w:val="1"/>
          <w:bCs w:val="1"/>
          <w:color w:val="auto"/>
        </w:rPr>
        <w:t>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9"/>
          <w:szCs w:val="29"/>
          <w:b w:val="1"/>
          <w:bCs w:val="1"/>
          <w:color w:val="auto"/>
        </w:rPr>
        <w:t>Restated and Adopted on January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00" w:right="220"/>
        <w:spacing w:after="0" w:line="244" w:lineRule="auto"/>
        <w:rPr>
          <w:sz w:val="20"/>
          <w:szCs w:val="20"/>
          <w:color w:val="auto"/>
        </w:rPr>
      </w:pPr>
      <w:r>
        <w:rPr>
          <w:rFonts w:ascii="Times New Roman" w:cs="Times New Roman" w:eastAsia="Times New Roman" w:hAnsi="Times New Roman"/>
          <w:sz w:val="22"/>
          <w:szCs w:val="22"/>
          <w:color w:val="auto"/>
        </w:rPr>
        <w:t>This Code of Ethics is the property of OFS Capital Management, LLC, OFS CLO Management, LLC, OFS CLO Management II, LLC, OFS CLO Management III, LLC and certain affiliated entities and must be returned to it if an individual’s association with it terminates for any reason.</w:t>
      </w:r>
    </w:p>
    <w:p>
      <w:pPr>
        <w:spacing w:after="0" w:line="119" w:lineRule="exact"/>
        <w:rPr>
          <w:sz w:val="20"/>
          <w:szCs w:val="20"/>
          <w:color w:val="auto"/>
        </w:rPr>
      </w:pPr>
    </w:p>
    <w:p>
      <w:pPr>
        <w:jc w:val="both"/>
        <w:ind w:left="100" w:right="220"/>
        <w:spacing w:after="0" w:line="244" w:lineRule="auto"/>
        <w:rPr>
          <w:sz w:val="20"/>
          <w:szCs w:val="20"/>
          <w:color w:val="auto"/>
        </w:rPr>
      </w:pPr>
      <w:r>
        <w:rPr>
          <w:rFonts w:ascii="Times New Roman" w:cs="Times New Roman" w:eastAsia="Times New Roman" w:hAnsi="Times New Roman"/>
          <w:sz w:val="22"/>
          <w:szCs w:val="22"/>
          <w:color w:val="auto"/>
        </w:rPr>
        <w:t>The content of this Code of Ethics is confidential and should not be revealed to third parties without the consent of the Chief Compliance Officer (“CCO”). The policies and procedures set forth herein supersede previous 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2129155</wp:posOffset>
            </wp:positionV>
            <wp:extent cx="703770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120"/>
          </w:cols>
          <w:pgMar w:left="1440" w:top="212" w:right="1339" w:bottom="1440" w:gutter="0" w:footer="0" w:header="0"/>
        </w:sectPr>
      </w:pPr>
    </w:p>
    <w:bookmarkStart w:id="69" w:name="page70"/>
    <w:bookmarkEnd w:id="69"/>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9840" w:type="dxa"/>
            <w:vAlign w:val="bottom"/>
          </w:tcPr>
          <w:p>
            <w:pPr>
              <w:ind w:left="38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40" w:type="dxa"/>
            <w:vAlign w:val="bottom"/>
          </w:tcPr>
          <w:p>
            <w:pPr>
              <w:spacing w:after="0"/>
              <w:rPr>
                <w:sz w:val="24"/>
                <w:szCs w:val="24"/>
                <w:color w:val="auto"/>
              </w:rPr>
            </w:pPr>
          </w:p>
        </w:tc>
      </w:tr>
      <w:tr>
        <w:trPr>
          <w:trHeight w:val="434"/>
        </w:trPr>
        <w:tc>
          <w:tcPr>
            <w:tcW w:w="62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18"/>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GENERAL (CODE OF ETHICS)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r>
      <w:tr>
        <w:trPr>
          <w:trHeight w:val="48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PERSONAL INVESTMENT POLICY</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r>
      <w:tr>
        <w:trPr>
          <w:trHeight w:val="48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INSIDE INFORMATION POLICY</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24</w:t>
            </w:r>
          </w:p>
        </w:tc>
      </w:tr>
      <w:tr>
        <w:trPr>
          <w:trHeight w:val="48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GIFTS, ENTERTAINMENT AND POLITICAL ACTIVITIES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32</w:t>
            </w:r>
          </w:p>
        </w:tc>
      </w:tr>
      <w:tr>
        <w:trPr>
          <w:trHeight w:val="48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V.</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OUTSIDE AFFILIATIONS POLICY</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39</w:t>
            </w:r>
          </w:p>
        </w:tc>
      </w:tr>
      <w:tr>
        <w:trPr>
          <w:trHeight w:val="48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VI.</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ANTI-CORRUPTION POLICY</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w:t>
            </w:r>
          </w:p>
        </w:tc>
      </w:tr>
      <w:tr>
        <w:trPr>
          <w:trHeight w:val="48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VII.</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ACCEPTABLE USE POLICY</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44</w:t>
            </w:r>
          </w:p>
        </w:tc>
      </w:tr>
      <w:tr>
        <w:trPr>
          <w:trHeight w:val="48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VIII.</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PERSONAL USE OF FIRM RESOURCES AND RELATIONSHIP POLICY</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45</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70" w:name="page71"/>
    <w:bookmarkEnd w:id="70"/>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0860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extLst>
                    </a:blip>
                    <a:srcRect/>
                    <a:stretch>
                      <a:fillRect/>
                    </a:stretch>
                  </pic:blipFill>
                  <pic:spPr bwMode="auto">
                    <a:xfrm>
                      <a:off x="0" y="0"/>
                      <a:ext cx="7136130" cy="8086090"/>
                    </a:xfrm>
                    <a:prstGeom prst="rect">
                      <a:avLst/>
                    </a:prstGeom>
                    <a:noFill/>
                  </pic:spPr>
                </pic:pic>
              </a:graphicData>
            </a:graphic>
          </wp:anchor>
        </w:drawing>
      </w:r>
    </w:p>
    <w:p>
      <w:pPr>
        <w:ind w:left="3500" w:hanging="690"/>
        <w:spacing w:after="0"/>
        <w:tabs>
          <w:tab w:leader="none" w:pos="350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(CODE OF ETHICS)</w:t>
      </w:r>
    </w:p>
    <w:p>
      <w:pPr>
        <w:spacing w:after="0" w:line="206" w:lineRule="exact"/>
        <w:rPr>
          <w:sz w:val="20"/>
          <w:szCs w:val="20"/>
          <w:color w:val="auto"/>
        </w:rPr>
      </w:pPr>
    </w:p>
    <w:p>
      <w:pPr>
        <w:ind w:left="800" w:hanging="689"/>
        <w:spacing w:after="0"/>
        <w:tabs>
          <w:tab w:leader="none" w:pos="80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10" w:lineRule="exact"/>
        <w:rPr>
          <w:sz w:val="20"/>
          <w:szCs w:val="20"/>
          <w:color w:val="auto"/>
        </w:rPr>
      </w:pPr>
    </w:p>
    <w:p>
      <w:pPr>
        <w:jc w:val="both"/>
        <w:ind w:left="120" w:right="100" w:firstLine="688"/>
        <w:spacing w:after="0" w:line="242" w:lineRule="auto"/>
        <w:rPr>
          <w:sz w:val="20"/>
          <w:szCs w:val="20"/>
          <w:color w:val="auto"/>
        </w:rPr>
      </w:pPr>
      <w:r>
        <w:rPr>
          <w:rFonts w:ascii="Times New Roman" w:cs="Times New Roman" w:eastAsia="Times New Roman" w:hAnsi="Times New Roman"/>
          <w:sz w:val="21"/>
          <w:szCs w:val="21"/>
          <w:color w:val="auto"/>
        </w:rPr>
        <w:t>The Code of Ethics (“Code”) has been jointly adopted by OFS Capital Management, OFS CLO Management, LLC, OFS CLO Management II, LLC and OFS CLO Management III, LLC (collectively, “OFS Adviser” or the "Firm”) and certain entities that are controlled by or under common control with OFS Adviser (“Affiliates”), as determined from time to time by Senior Management, and each of OFS Capital Corporation, Hancock Park Corporate Income, Inc., OFS Credit Company, Inc. and any investment company that OFS Adviser may sponsor and/or manage from time to time (each, an “OFS Fund” and collectively, “OFS Funds”) in order to establish applicable policies, guidelines and procedures that promote ethical practices and conduct by all Supervised Persons of OFS Adviser, including, but not limited to, certain employees, interns, consultants, temporary employees, principals and others designated by the Compliance Department, and that prevent violations of applicable laws including the Investment Advisers Act of 1940, as amended (“Advisers Act”) and the Investment Company Act of 1940, as amended (“Company Act”).</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“Supervised Person” is defined as any director, officer, member or employee (or other person occupying similar status or performing similar functions) of OFS Adviser or any other person who provides investment advice on behalf of OFS Adviser and is subject to the supervision and control of OFS Adviser</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w:t>
      </w:r>
    </w:p>
    <w:p>
      <w:pPr>
        <w:spacing w:after="0" w:line="13" w:lineRule="exact"/>
        <w:rPr>
          <w:sz w:val="20"/>
          <w:szCs w:val="20"/>
          <w:color w:val="auto"/>
        </w:rPr>
      </w:pPr>
    </w:p>
    <w:p>
      <w:pPr>
        <w:jc w:val="both"/>
        <w:ind w:left="120" w:right="100" w:firstLine="688"/>
        <w:spacing w:after="0" w:line="233" w:lineRule="auto"/>
        <w:rPr>
          <w:sz w:val="20"/>
          <w:szCs w:val="20"/>
          <w:color w:val="auto"/>
        </w:rPr>
      </w:pPr>
      <w:r>
        <w:rPr>
          <w:rFonts w:ascii="Times New Roman" w:cs="Times New Roman" w:eastAsia="Times New Roman" w:hAnsi="Times New Roman"/>
          <w:sz w:val="22"/>
          <w:szCs w:val="22"/>
          <w:color w:val="auto"/>
        </w:rPr>
        <w:t>Unless instructed otherwise or approved by the Compliance Department, temporary employees and consultants will generally be deemed a Supervised Person if the employee’s or consultant’s work assignment or engagement exceeds ninety (90) calendar days. This Code is available to all Supervised Persons on OFS Adviser’s compliance portal. All Supervised Persons must read it carefully and certify at least annually (and at such other times that a Compliance Officer may request) that they have read and understand, and agree to abide by the Code.</w:t>
      </w:r>
    </w:p>
    <w:p>
      <w:pPr>
        <w:spacing w:after="0" w:line="71" w:lineRule="exact"/>
        <w:rPr>
          <w:sz w:val="20"/>
          <w:szCs w:val="20"/>
          <w:color w:val="auto"/>
        </w:rPr>
      </w:pPr>
    </w:p>
    <w:p>
      <w:pPr>
        <w:jc w:val="both"/>
        <w:ind w:left="120" w:right="120" w:firstLine="688"/>
        <w:spacing w:after="0" w:line="226" w:lineRule="auto"/>
        <w:rPr>
          <w:sz w:val="20"/>
          <w:szCs w:val="20"/>
          <w:color w:val="auto"/>
        </w:rPr>
      </w:pPr>
      <w:r>
        <w:rPr>
          <w:rFonts w:ascii="Times New Roman" w:cs="Times New Roman" w:eastAsia="Times New Roman" w:hAnsi="Times New Roman"/>
          <w:sz w:val="22"/>
          <w:szCs w:val="22"/>
          <w:color w:val="auto"/>
        </w:rPr>
        <w:t>The Code is designed to address conflicts of interest that may arise in an employee’s personal dealings as well as those on behalf of the Firm and its Advisory Clients</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The following policies comprise the Code and address certain of these conflicts:</w:t>
      </w:r>
    </w:p>
    <w:p>
      <w:pPr>
        <w:spacing w:after="0" w:line="71" w:lineRule="exact"/>
        <w:rPr>
          <w:sz w:val="20"/>
          <w:szCs w:val="20"/>
          <w:color w:val="auto"/>
        </w:rPr>
      </w:pPr>
    </w:p>
    <w:p>
      <w:pPr>
        <w:ind w:left="1840" w:hanging="353"/>
        <w:spacing w:after="0"/>
        <w:tabs>
          <w:tab w:leader="none" w:pos="18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Personal Investment Policy,</w:t>
      </w:r>
    </w:p>
    <w:p>
      <w:pPr>
        <w:spacing w:after="0" w:line="305" w:lineRule="exact"/>
        <w:rPr>
          <w:sz w:val="20"/>
          <w:szCs w:val="20"/>
          <w:color w:val="auto"/>
        </w:rPr>
      </w:pPr>
    </w:p>
    <w:p>
      <w:pPr>
        <w:ind w:right="200" w:firstLine="1"/>
        <w:spacing w:after="0" w:line="199" w:lineRule="auto"/>
        <w:tabs>
          <w:tab w:leader="none" w:pos="105"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Code is adopted by OFS Adviser and each OFS Fund pursuant to and in accordance with the requirements of each of Rules 204A-1 and 206(4)- 7 under the Advisers Act and Rules 17j-1 and 38a-1under the Company Act.</w:t>
      </w:r>
    </w:p>
    <w:p>
      <w:pPr>
        <w:spacing w:after="0" w:line="1"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4"/>
          <w:szCs w:val="14"/>
          <w:color w:val="auto"/>
        </w:rPr>
        <w:t xml:space="preserve"> The Chief Compliance Officer or his/her designee may consider any director, officer, member, principal or employee, including, but not limited to, intern, consultants and temporary employees, of an Affiliate of OFS Adviser to be a Supervised Person of OFS Adviser if the Chief Compliance Officer determines that such person performs services for OFS Adviser, through any staffing or similar agreement, such that the person would constitute a Supervised Person if such person was a director, officer, member, employee, intern or temporary employee of OFS Adviser. The Compliance Department maintains a list of all such persons and whether each person is (1) a Supervised Person and (2) an Access Person and will notify each person of relevant requirements. The majority of OFS Adviser’s personnel are employees of Orchard First Source Capital, Inc., an Affiliate of OFS Adviser.</w:t>
      </w:r>
    </w:p>
    <w:p>
      <w:pPr>
        <w:spacing w:after="0" w:line="66" w:lineRule="exact"/>
        <w:rPr>
          <w:sz w:val="20"/>
          <w:szCs w:val="20"/>
          <w:color w:val="auto"/>
        </w:rPr>
      </w:pPr>
    </w:p>
    <w:p>
      <w:pPr>
        <w:ind w:right="120" w:firstLine="1"/>
        <w:spacing w:after="0" w:line="208" w:lineRule="auto"/>
        <w:tabs>
          <w:tab w:leader="none" w:pos="105"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Advisory Client means any individual, group of individuals, partnership, trust, company or other investment fund entity for whom OFS Adviser acts as investment adviser. For example, any OFS Fund is an Advisory Client. For the avoidance of doubt, Advisory Clients include public and private investment funds, including comingled funds and single investor funds (“Funds”) and managed accounts managed by OFS Adviser, but do not include the underlying individual investors in such Funds (“Investors”), although certain protections afforded to Advisory Clients pursuant to this Code do extend to Investors through Rule 206(4)-8 of the Advisers Act.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812800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440" w:right="799" w:bottom="1440" w:gutter="0" w:footer="0" w:header="0"/>
        </w:sectPr>
      </w:pPr>
    </w:p>
    <w:bookmarkStart w:id="71" w:name="page72"/>
    <w:bookmarkEnd w:id="71"/>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6772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9">
                      <a:extLst>
                        <a:ext uri="{28A0092B-C50C-407E-A947-70E740481C1C}"/>
                      </a:extLst>
                    </a:blip>
                    <a:srcRect/>
                    <a:stretch>
                      <a:fillRect/>
                    </a:stretch>
                  </pic:blipFill>
                  <pic:spPr bwMode="auto">
                    <a:xfrm>
                      <a:off x="0" y="0"/>
                      <a:ext cx="7136130" cy="8677275"/>
                    </a:xfrm>
                    <a:prstGeom prst="rect">
                      <a:avLst/>
                    </a:prstGeom>
                    <a:noFill/>
                  </pic:spPr>
                </pic:pic>
              </a:graphicData>
            </a:graphic>
          </wp:anchor>
        </w:drawing>
      </w:r>
    </w:p>
    <w:p>
      <w:pPr>
        <w:ind w:left="1729" w:hanging="353"/>
        <w:spacing w:after="0"/>
        <w:tabs>
          <w:tab w:leader="none" w:pos="17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 Information Policy,</w:t>
      </w:r>
    </w:p>
    <w:p>
      <w:pPr>
        <w:spacing w:after="0" w:line="14" w:lineRule="exact"/>
        <w:rPr>
          <w:rFonts w:ascii="Times New Roman" w:cs="Times New Roman" w:eastAsia="Times New Roman" w:hAnsi="Times New Roman"/>
          <w:sz w:val="22"/>
          <w:szCs w:val="22"/>
          <w:color w:val="auto"/>
        </w:rPr>
      </w:pPr>
    </w:p>
    <w:p>
      <w:pPr>
        <w:ind w:left="1729" w:hanging="353"/>
        <w:spacing w:after="0"/>
        <w:tabs>
          <w:tab w:leader="none" w:pos="17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Gifts and Entertainment Policy,</w:t>
      </w:r>
    </w:p>
    <w:p>
      <w:pPr>
        <w:spacing w:after="0" w:line="3" w:lineRule="exact"/>
        <w:rPr>
          <w:rFonts w:ascii="Times New Roman" w:cs="Times New Roman" w:eastAsia="Times New Roman" w:hAnsi="Times New Roman"/>
          <w:sz w:val="22"/>
          <w:szCs w:val="22"/>
          <w:color w:val="auto"/>
        </w:rPr>
      </w:pPr>
    </w:p>
    <w:p>
      <w:pPr>
        <w:ind w:left="1729" w:hanging="353"/>
        <w:spacing w:after="0" w:line="230" w:lineRule="auto"/>
        <w:tabs>
          <w:tab w:leader="none" w:pos="17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Political Activity Policy,</w:t>
      </w:r>
    </w:p>
    <w:p>
      <w:pPr>
        <w:ind w:left="1729" w:hanging="353"/>
        <w:spacing w:after="0" w:line="230" w:lineRule="auto"/>
        <w:tabs>
          <w:tab w:leader="none" w:pos="17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Outside Affiliations Policy,</w:t>
      </w:r>
    </w:p>
    <w:p>
      <w:pPr>
        <w:ind w:left="1729" w:hanging="353"/>
        <w:spacing w:after="0" w:line="230" w:lineRule="auto"/>
        <w:tabs>
          <w:tab w:leader="none" w:pos="17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Anti-Corruption Policy,</w:t>
      </w:r>
    </w:p>
    <w:p>
      <w:pPr>
        <w:ind w:left="1729" w:hanging="353"/>
        <w:spacing w:after="0" w:line="230" w:lineRule="auto"/>
        <w:tabs>
          <w:tab w:leader="none" w:pos="17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OFS Acceptable Use Policy; and</w:t>
      </w:r>
    </w:p>
    <w:p>
      <w:pPr>
        <w:ind w:left="1729" w:hanging="353"/>
        <w:spacing w:after="0"/>
        <w:tabs>
          <w:tab w:leader="none" w:pos="17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 Use of the Firm’s Resources and Relationships Policy</w:t>
      </w:r>
    </w:p>
    <w:p>
      <w:pPr>
        <w:spacing w:after="0" w:line="128" w:lineRule="exact"/>
        <w:rPr>
          <w:sz w:val="20"/>
          <w:szCs w:val="20"/>
          <w:color w:val="auto"/>
        </w:rPr>
      </w:pPr>
    </w:p>
    <w:p>
      <w:pPr>
        <w:jc w:val="both"/>
        <w:ind w:left="9" w:firstLine="688"/>
        <w:spacing w:after="0" w:line="244" w:lineRule="auto"/>
        <w:rPr>
          <w:sz w:val="20"/>
          <w:szCs w:val="20"/>
          <w:color w:val="auto"/>
        </w:rPr>
      </w:pPr>
      <w:r>
        <w:rPr>
          <w:rFonts w:ascii="Times New Roman" w:cs="Times New Roman" w:eastAsia="Times New Roman" w:hAnsi="Times New Roman"/>
          <w:sz w:val="22"/>
          <w:szCs w:val="22"/>
          <w:color w:val="auto"/>
        </w:rPr>
        <w:t>OFS Adviser and each OFS Fund require that all Supervised Persons of OFS Adviser observe the applicable standards of care set forth in these policies and not seek to evade the provisions of the Code in any way, including through indirect acts by Related Persons or other associates.</w:t>
      </w:r>
    </w:p>
    <w:p>
      <w:pPr>
        <w:spacing w:after="0" w:line="160" w:lineRule="exact"/>
        <w:rPr>
          <w:sz w:val="20"/>
          <w:szCs w:val="20"/>
          <w:color w:val="auto"/>
        </w:rPr>
      </w:pPr>
    </w:p>
    <w:p>
      <w:pPr>
        <w:jc w:val="both"/>
        <w:ind w:left="89" w:right="100"/>
        <w:spacing w:after="0" w:line="235" w:lineRule="auto"/>
        <w:rPr>
          <w:sz w:val="20"/>
          <w:szCs w:val="20"/>
          <w:color w:val="auto"/>
        </w:rPr>
      </w:pPr>
      <w:r>
        <w:rPr>
          <w:rFonts w:ascii="Times New Roman" w:cs="Times New Roman" w:eastAsia="Times New Roman" w:hAnsi="Times New Roman"/>
          <w:sz w:val="22"/>
          <w:szCs w:val="22"/>
          <w:color w:val="auto"/>
        </w:rPr>
        <w:t>All activities involving the OFS Funds are subject to the Company Act and the policies and procedures adopted by each OFS Fund in connection therewith as set forth in the Rule 38a-1 Compliance Manual (“38a-1 Manual”) for each OFS Fund. The obligations set forth in the Code and the 38a-1 Manual are in addition to and not in lieu of the policies and procedures set forth in the Firm’s Employee Handbook and any other Compliance Policies adopted by OFS Adviser in respect of the conduct of its business.OFS Adviser and each OFS Fund require that all Supervised Persons of OFS Adviser observe the applicable standards of care set forth in these policies and not seek to evade the provisions of the Code in any way, including through indirect acts by Related Persons or other associates.</w:t>
      </w:r>
    </w:p>
    <w:p>
      <w:pPr>
        <w:spacing w:after="0" w:line="93" w:lineRule="exact"/>
        <w:rPr>
          <w:sz w:val="20"/>
          <w:szCs w:val="20"/>
          <w:color w:val="auto"/>
        </w:rPr>
      </w:pPr>
    </w:p>
    <w:p>
      <w:pPr>
        <w:ind w:left="689" w:hanging="689"/>
        <w:spacing w:after="0"/>
        <w:tabs>
          <w:tab w:leader="none" w:pos="689"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STATEMENT OF STANDARDS OF BUSINESS CONDUCT</w:t>
      </w:r>
    </w:p>
    <w:p>
      <w:pPr>
        <w:spacing w:after="0" w:line="102" w:lineRule="exact"/>
        <w:rPr>
          <w:sz w:val="20"/>
          <w:szCs w:val="20"/>
          <w:color w:val="auto"/>
        </w:rPr>
      </w:pPr>
    </w:p>
    <w:p>
      <w:pPr>
        <w:jc w:val="both"/>
        <w:ind w:left="9" w:firstLine="688"/>
        <w:spacing w:after="0" w:line="239" w:lineRule="auto"/>
        <w:rPr>
          <w:sz w:val="20"/>
          <w:szCs w:val="20"/>
          <w:color w:val="auto"/>
        </w:rPr>
      </w:pPr>
      <w:r>
        <w:rPr>
          <w:rFonts w:ascii="Times New Roman" w:cs="Times New Roman" w:eastAsia="Times New Roman" w:hAnsi="Times New Roman"/>
          <w:sz w:val="22"/>
          <w:szCs w:val="22"/>
          <w:color w:val="auto"/>
        </w:rPr>
        <w:t>As a fundamental mandate, OFS Adviser and each OFS Fund demand the highest standards of ethical conduct and care from all Supervised Persons and OFS Fund Directors. Supervised Persons and OFS Fund Directors must abide by this basic business standard and must not take inappropriate advantage of their position with the Firm or OFS Fund.</w:t>
      </w:r>
    </w:p>
    <w:p>
      <w:pPr>
        <w:spacing w:after="0" w:line="72" w:lineRule="exact"/>
        <w:rPr>
          <w:sz w:val="20"/>
          <w:szCs w:val="20"/>
          <w:color w:val="auto"/>
        </w:rPr>
      </w:pPr>
    </w:p>
    <w:p>
      <w:pPr>
        <w:jc w:val="both"/>
        <w:ind w:left="9" w:firstLine="688"/>
        <w:spacing w:after="0" w:line="239" w:lineRule="auto"/>
        <w:rPr>
          <w:sz w:val="20"/>
          <w:szCs w:val="20"/>
          <w:color w:val="auto"/>
        </w:rPr>
      </w:pPr>
      <w:r>
        <w:rPr>
          <w:rFonts w:ascii="Times New Roman" w:cs="Times New Roman" w:eastAsia="Times New Roman" w:hAnsi="Times New Roman"/>
          <w:sz w:val="22"/>
          <w:szCs w:val="22"/>
          <w:color w:val="auto"/>
        </w:rPr>
        <w:t>Each Supervised Person and OFS Fund Director is under a duty to exercise his or her authority and responsibility for the primary benefit of OFS Adviser’s Advisory Clients, including the OFS Funds, and the Firm, and may not have outside interests or engage in activities that inappropriately conflict or appear to conflict with the interests of the Firm or its Advisory Clients, including the OFS Funds. Examples of such conflicts include:</w:t>
      </w:r>
    </w:p>
    <w:p>
      <w:pPr>
        <w:spacing w:after="0" w:line="72" w:lineRule="exact"/>
        <w:rPr>
          <w:sz w:val="20"/>
          <w:szCs w:val="20"/>
          <w:color w:val="auto"/>
        </w:rPr>
      </w:pPr>
    </w:p>
    <w:p>
      <w:pPr>
        <w:ind w:left="1489" w:right="140" w:hanging="332"/>
        <w:spacing w:after="0" w:line="241" w:lineRule="auto"/>
        <w:tabs>
          <w:tab w:leader="none" w:pos="1489"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Engaging a service provider on behalf of Advisory Clients or the Firm in which you or your Related Person has a financial interest;</w:t>
      </w:r>
    </w:p>
    <w:p>
      <w:pPr>
        <w:spacing w:after="0" w:line="1" w:lineRule="exact"/>
        <w:rPr>
          <w:rFonts w:ascii="Times New Roman" w:cs="Times New Roman" w:eastAsia="Times New Roman" w:hAnsi="Times New Roman"/>
          <w:sz w:val="20"/>
          <w:szCs w:val="20"/>
          <w:color w:val="auto"/>
        </w:rPr>
      </w:pPr>
    </w:p>
    <w:p>
      <w:pPr>
        <w:ind w:left="1489" w:right="20" w:hanging="332"/>
        <w:spacing w:after="0" w:line="230" w:lineRule="auto"/>
        <w:tabs>
          <w:tab w:leader="none" w:pos="1489"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Accepting extravagant or frequent gifts or entertainment from a current or potential service provider to the Firm or OFS Fund;</w:t>
      </w:r>
    </w:p>
    <w:p>
      <w:pPr>
        <w:spacing w:after="0" w:line="1" w:lineRule="exact"/>
        <w:rPr>
          <w:rFonts w:ascii="Times New Roman" w:cs="Times New Roman" w:eastAsia="Times New Roman" w:hAnsi="Times New Roman"/>
          <w:sz w:val="20"/>
          <w:szCs w:val="20"/>
          <w:color w:val="auto"/>
        </w:rPr>
      </w:pPr>
    </w:p>
    <w:p>
      <w:pPr>
        <w:ind w:left="1489" w:right="140" w:hanging="332"/>
        <w:spacing w:after="0" w:line="230" w:lineRule="auto"/>
        <w:tabs>
          <w:tab w:leader="none" w:pos="1489"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Making charitable contributions at the request of a prospective Advisory Client when the Advisory Client will directly benefit from such contribution;</w:t>
      </w:r>
    </w:p>
    <w:p>
      <w:pPr>
        <w:spacing w:after="0" w:line="1" w:lineRule="exact"/>
        <w:rPr>
          <w:rFonts w:ascii="Times New Roman" w:cs="Times New Roman" w:eastAsia="Times New Roman" w:hAnsi="Times New Roman"/>
          <w:sz w:val="20"/>
          <w:szCs w:val="20"/>
          <w:color w:val="auto"/>
        </w:rPr>
      </w:pPr>
    </w:p>
    <w:p>
      <w:pPr>
        <w:jc w:val="both"/>
        <w:ind w:left="1469" w:right="120" w:hanging="340"/>
        <w:spacing w:after="0" w:line="230" w:lineRule="auto"/>
        <w:tabs>
          <w:tab w:leader="none" w:pos="146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Contributing to the election campaign of a government official or candidate who has, or will have if elected, the authority to appoint pension plan board members who are responsible for selecting investment advisers for such pension plan;</w:t>
      </w:r>
    </w:p>
    <w:p>
      <w:pPr>
        <w:spacing w:after="0" w:line="1" w:lineRule="exact"/>
        <w:rPr>
          <w:rFonts w:ascii="Times New Roman" w:cs="Times New Roman" w:eastAsia="Times New Roman" w:hAnsi="Times New Roman"/>
          <w:sz w:val="20"/>
          <w:szCs w:val="20"/>
          <w:color w:val="auto"/>
        </w:rPr>
      </w:pPr>
    </w:p>
    <w:p>
      <w:pPr>
        <w:ind w:left="1469" w:hanging="340"/>
        <w:spacing w:after="0"/>
        <w:tabs>
          <w:tab w:leader="none" w:pos="146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Taking advantage of your position with the Firm or OFS Fund by using knowledge of</w:t>
      </w:r>
    </w:p>
    <w:p>
      <w:pPr>
        <w:spacing w:after="0" w:line="200" w:lineRule="exact"/>
        <w:rPr>
          <w:sz w:val="20"/>
          <w:szCs w:val="20"/>
          <w:color w:val="auto"/>
        </w:rPr>
      </w:pPr>
    </w:p>
    <w:p>
      <w:pPr>
        <w:spacing w:after="0" w:line="2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-4-</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72" w:name="page73"/>
    <w:bookmarkEnd w:id="72"/>
    <w:p>
      <w:pPr>
        <w:ind w:left="1460" w:right="120"/>
        <w:spacing w:after="0" w:line="24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0429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1">
                      <a:extLst>
                        <a:ext uri="{28A0092B-C50C-407E-A947-70E740481C1C}"/>
                      </a:extLst>
                    </a:blip>
                    <a:srcRect/>
                    <a:stretch>
                      <a:fillRect/>
                    </a:stretch>
                  </pic:blipFill>
                  <pic:spPr bwMode="auto">
                    <a:xfrm>
                      <a:off x="0" y="0"/>
                      <a:ext cx="7136130" cy="8042910"/>
                    </a:xfrm>
                    <a:prstGeom prst="rect">
                      <a:avLst/>
                    </a:prstGeom>
                    <a:noFill/>
                  </pic:spPr>
                </pic:pic>
              </a:graphicData>
            </a:graphic>
          </wp:anchor>
        </w:drawing>
        <w:t>the Firm’s actual or anticipated Advisory Client trades to benefit your own personal trading (e.g., frontrunning);</w:t>
      </w:r>
    </w:p>
    <w:p>
      <w:pPr>
        <w:spacing w:after="0" w:line="2" w:lineRule="exact"/>
        <w:rPr>
          <w:sz w:val="20"/>
          <w:szCs w:val="20"/>
          <w:color w:val="auto"/>
        </w:rPr>
      </w:pPr>
    </w:p>
    <w:p>
      <w:pPr>
        <w:ind w:left="1460" w:right="120" w:hanging="340"/>
        <w:spacing w:after="0" w:line="236" w:lineRule="auto"/>
        <w:tabs>
          <w:tab w:leader="none" w:pos="14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Knowingly purchasing an interest in a company or property that you know the Firm is targeting for investment; and</w:t>
      </w:r>
    </w:p>
    <w:p>
      <w:pPr>
        <w:spacing w:after="0" w:line="1" w:lineRule="exact"/>
        <w:rPr>
          <w:rFonts w:ascii="Times New Roman" w:cs="Times New Roman" w:eastAsia="Times New Roman" w:hAnsi="Times New Roman"/>
          <w:sz w:val="20"/>
          <w:szCs w:val="20"/>
          <w:color w:val="auto"/>
        </w:rPr>
      </w:pPr>
    </w:p>
    <w:p>
      <w:pPr>
        <w:ind w:left="1460" w:hanging="340"/>
        <w:spacing w:after="0"/>
        <w:tabs>
          <w:tab w:leader="none" w:pos="14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Assuming an outside position with a company that competes directly with the Firm.</w:t>
      </w:r>
    </w:p>
    <w:p>
      <w:pPr>
        <w:spacing w:after="0" w:line="200" w:lineRule="exact"/>
        <w:rPr>
          <w:sz w:val="20"/>
          <w:szCs w:val="20"/>
          <w:color w:val="auto"/>
        </w:rPr>
      </w:pP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above list of examples is not exhaustive, and you, as a Supervised Person or OFS Fund Director, are responsible for assessing the unique facts and circumstances of your activities for potential conflicts and consulting with OFS Adviser’s Legal and Compliance Departments </w:t>
      </w:r>
      <w:r>
        <w:rPr>
          <w:rFonts w:ascii="Times New Roman" w:cs="Times New Roman" w:eastAsia="Times New Roman" w:hAnsi="Times New Roman"/>
          <w:sz w:val="22"/>
          <w:szCs w:val="22"/>
          <w:b w:val="1"/>
          <w:bCs w:val="1"/>
          <w:color w:val="auto"/>
        </w:rPr>
        <w:t>prior to</w:t>
      </w:r>
      <w:r>
        <w:rPr>
          <w:rFonts w:ascii="Times New Roman" w:cs="Times New Roman" w:eastAsia="Times New Roman" w:hAnsi="Times New Roman"/>
          <w:sz w:val="22"/>
          <w:szCs w:val="22"/>
          <w:color w:val="auto"/>
        </w:rPr>
        <w:t xml:space="preserve"> engaging in such activities.</w:t>
      </w:r>
    </w:p>
    <w:p>
      <w:pPr>
        <w:spacing w:after="0" w:line="65" w:lineRule="exact"/>
        <w:rPr>
          <w:sz w:val="20"/>
          <w:szCs w:val="20"/>
          <w:color w:val="auto"/>
        </w:rPr>
      </w:pPr>
    </w:p>
    <w:p>
      <w:pPr>
        <w:jc w:val="both"/>
        <w:ind w:firstLine="688"/>
        <w:spacing w:after="0" w:line="235" w:lineRule="auto"/>
        <w:rPr>
          <w:sz w:val="20"/>
          <w:szCs w:val="20"/>
          <w:color w:val="auto"/>
        </w:rPr>
      </w:pPr>
      <w:r>
        <w:rPr>
          <w:rFonts w:ascii="Times New Roman" w:cs="Times New Roman" w:eastAsia="Times New Roman" w:hAnsi="Times New Roman"/>
          <w:sz w:val="22"/>
          <w:szCs w:val="22"/>
          <w:color w:val="auto"/>
        </w:rPr>
        <w:t>Each Supervised Person and OFS Fund Director must avoid circumstances or conduct that adversely affect or that appear to adversely affect OFS Adviser or its Advisory Clients, including the OFS Funds. Every Supervised Person and OFS Fund Director must comply with applicable federal securities laws and must promptly report suspected violations of the Code to a Compliance Officer. OFS Adviser strictly prohibits retaliation against any individual reporting suspected violations, who, in good faith, seeks help or reports known or suspected violations, including Supervised Persons who assist in making a report or who cooperate in an investigation (see Section I.E. Reporting and Sanctions).</w:t>
      </w:r>
    </w:p>
    <w:p>
      <w:pPr>
        <w:spacing w:after="0" w:line="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u w:val="single" w:color="auto"/>
          <w:color w:val="auto"/>
        </w:rPr>
        <w:t>GENERAL GUIDELINES</w:t>
      </w:r>
    </w:p>
    <w:p>
      <w:pPr>
        <w:spacing w:after="0" w:line="206" w:lineRule="exact"/>
        <w:rPr>
          <w:sz w:val="20"/>
          <w:szCs w:val="20"/>
          <w:color w:val="auto"/>
        </w:rPr>
      </w:pPr>
    </w:p>
    <w:p>
      <w:pPr>
        <w:jc w:val="both"/>
        <w:ind w:left="1360" w:hanging="681"/>
        <w:spacing w:after="0" w:line="235" w:lineRule="auto"/>
        <w:tabs>
          <w:tab w:leader="none" w:pos="13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Supervised Persons and OFS Directors may not employ any device, scheme or artifice to defraud an OFS Fund or any Advisory Client, make any untrue statement of a material fact to an OFS Fund or another Advisory Client, or omit to state a material fact necessary in order to make the statements not misleading, engage in any act, practice or course of business that operates or would operate as a fraud or deceit upon an OFS Fund or another Advisory Client, engage in any manipulative practice with respect to an OFS Fund or another Advisory Client, or engage in any manipulative practice with respect to Securities, including price manipulation.</w:t>
      </w:r>
    </w:p>
    <w:p>
      <w:pPr>
        <w:spacing w:after="0" w:line="210" w:lineRule="exact"/>
        <w:rPr>
          <w:rFonts w:ascii="Times New Roman" w:cs="Times New Roman" w:eastAsia="Times New Roman" w:hAnsi="Times New Roman"/>
          <w:sz w:val="22"/>
          <w:szCs w:val="22"/>
          <w:b w:val="1"/>
          <w:bCs w:val="1"/>
          <w:color w:val="auto"/>
        </w:rPr>
      </w:pPr>
    </w:p>
    <w:p>
      <w:pPr>
        <w:jc w:val="both"/>
        <w:ind w:left="1360" w:hanging="681"/>
        <w:spacing w:after="0" w:line="238" w:lineRule="auto"/>
        <w:tabs>
          <w:tab w:leader="none" w:pos="13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with the prior approval of a Compliance Officer, in consultation with a Supervised Person’s supervisor and/or Senior Management, a Supervised Person may not act as a director, officer, general partner, managing member, principal, proprietor, consultant, agent, representative, trustee or employee of any unaffiliated public or private entity or business other than an OFS Fund, OFS Adviser, or an Affiliate of OFS Adviser. (See Section IV)</w:t>
      </w:r>
    </w:p>
    <w:p>
      <w:pPr>
        <w:spacing w:after="0" w:line="176" w:lineRule="exact"/>
        <w:rPr>
          <w:rFonts w:ascii="Times New Roman" w:cs="Times New Roman" w:eastAsia="Times New Roman" w:hAnsi="Times New Roman"/>
          <w:sz w:val="22"/>
          <w:szCs w:val="22"/>
          <w:b w:val="1"/>
          <w:bCs w:val="1"/>
          <w:color w:val="auto"/>
        </w:rPr>
      </w:pPr>
    </w:p>
    <w:p>
      <w:pPr>
        <w:jc w:val="both"/>
        <w:ind w:left="1360" w:hanging="681"/>
        <w:spacing w:after="0" w:line="244" w:lineRule="auto"/>
        <w:tabs>
          <w:tab w:leader="none" w:pos="13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All Supervised Persons must disclose to OFS Adviser any interests they may have in any entity that is not affiliated with OFS Adviser or any OFS Fund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that has a known business relationship with OFS Adviser, an Affiliate of OFS Adviser or any OFS Fund.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-5-</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08" w:right="899" w:bottom="1440" w:gutter="0" w:footer="0" w:header="0"/>
        </w:sectPr>
      </w:pPr>
    </w:p>
    <w:bookmarkStart w:id="73" w:name="page74"/>
    <w:bookmarkEnd w:id="73"/>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9090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3">
                      <a:extLst>
                        <a:ext uri="{28A0092B-C50C-407E-A947-70E740481C1C}"/>
                      </a:extLst>
                    </a:blip>
                    <a:srcRect/>
                    <a:stretch>
                      <a:fillRect/>
                    </a:stretch>
                  </pic:blipFill>
                  <pic:spPr bwMode="auto">
                    <a:xfrm>
                      <a:off x="0" y="0"/>
                      <a:ext cx="7136130" cy="8909050"/>
                    </a:xfrm>
                    <a:prstGeom prst="rect">
                      <a:avLst/>
                    </a:prstGeom>
                    <a:noFill/>
                  </pic:spPr>
                </pic:pic>
              </a:graphicData>
            </a:graphic>
          </wp:anchor>
        </w:drawing>
      </w:r>
    </w:p>
    <w:p>
      <w:pPr>
        <w:jc w:val="both"/>
        <w:ind w:left="1479" w:hanging="681"/>
        <w:spacing w:after="0" w:line="239" w:lineRule="auto"/>
        <w:tabs>
          <w:tab w:leader="none" w:pos="1479"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with the prior approval of a Compliance Officer, and as specifically permitted by law, Supervised Persons may not have a material direct or indirect interest (e.g., as principal, co-principal, agent, member, partner, or material shareholder or beneficiary) in any transaction that conflicts with the interests of OFS Adviser or its Advisory Clients.</w:t>
      </w:r>
    </w:p>
    <w:p>
      <w:pPr>
        <w:spacing w:after="0" w:line="180" w:lineRule="exact"/>
        <w:rPr>
          <w:rFonts w:ascii="Times New Roman" w:cs="Times New Roman" w:eastAsia="Times New Roman" w:hAnsi="Times New Roman"/>
          <w:sz w:val="22"/>
          <w:szCs w:val="22"/>
          <w:b w:val="1"/>
          <w:bCs w:val="1"/>
          <w:color w:val="auto"/>
        </w:rPr>
      </w:pPr>
    </w:p>
    <w:p>
      <w:pPr>
        <w:jc w:val="both"/>
        <w:ind w:left="1479" w:hanging="681"/>
        <w:spacing w:after="0" w:line="230" w:lineRule="auto"/>
        <w:tabs>
          <w:tab w:leader="none" w:pos="1479"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Access Persons and their Related Persons are required to preclear and obtain Compliance approval for Investments in the publicly traded Reportable Securities as listed in Section B.II.1., Initial Public Offerings (“IPO”), Initial Coin Offerings (“ICO”) or Private Placements</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(including hedge funds and other private investment vehicles). (See Section II.C.2) This requirement also applies to Private Placements that are Advisory Clients of OFS Adviser, such as Hancock Park Corporate Income, Inc and other Reportable Funds.</w:t>
      </w:r>
    </w:p>
    <w:p>
      <w:pPr>
        <w:spacing w:after="0" w:line="180" w:lineRule="exact"/>
        <w:rPr>
          <w:rFonts w:ascii="Times New Roman" w:cs="Times New Roman" w:eastAsia="Times New Roman" w:hAnsi="Times New Roman"/>
          <w:sz w:val="22"/>
          <w:szCs w:val="22"/>
          <w:b w:val="1"/>
          <w:bCs w:val="1"/>
          <w:color w:val="auto"/>
        </w:rPr>
      </w:pPr>
    </w:p>
    <w:p>
      <w:pPr>
        <w:ind w:left="1479" w:right="20" w:hanging="681"/>
        <w:spacing w:after="0" w:line="258" w:lineRule="auto"/>
        <w:tabs>
          <w:tab w:leader="none" w:pos="1479"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Supervised Persons are prohibited from trading in a Security in close proximity to an actual, planned or pending trade of such Security on behalf of an Advisory Client (i.e., front running).</w:t>
      </w:r>
    </w:p>
    <w:p>
      <w:pPr>
        <w:spacing w:after="0" w:line="158" w:lineRule="exact"/>
        <w:rPr>
          <w:rFonts w:ascii="Times New Roman" w:cs="Times New Roman" w:eastAsia="Times New Roman" w:hAnsi="Times New Roman"/>
          <w:sz w:val="22"/>
          <w:szCs w:val="22"/>
          <w:b w:val="1"/>
          <w:bCs w:val="1"/>
          <w:color w:val="auto"/>
        </w:rPr>
      </w:pPr>
    </w:p>
    <w:p>
      <w:pPr>
        <w:jc w:val="both"/>
        <w:ind w:left="1479" w:hanging="681"/>
        <w:spacing w:after="0" w:line="239" w:lineRule="auto"/>
        <w:tabs>
          <w:tab w:leader="none" w:pos="1479"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Supervised Person, except in the course of the rightful exercise of his or her job responsibilities, shall reveal to any other person, information regarding any Advisory Client or any investment or Security transaction being considered, recommended or executed on behalf of any Advisory Client. (See Section III)</w:t>
      </w:r>
    </w:p>
    <w:p>
      <w:pPr>
        <w:spacing w:after="0" w:line="180" w:lineRule="exact"/>
        <w:rPr>
          <w:rFonts w:ascii="Times New Roman" w:cs="Times New Roman" w:eastAsia="Times New Roman" w:hAnsi="Times New Roman"/>
          <w:sz w:val="22"/>
          <w:szCs w:val="22"/>
          <w:b w:val="1"/>
          <w:bCs w:val="1"/>
          <w:color w:val="auto"/>
        </w:rPr>
      </w:pPr>
    </w:p>
    <w:p>
      <w:pPr>
        <w:jc w:val="both"/>
        <w:ind w:left="1479" w:hanging="681"/>
        <w:spacing w:after="0" w:line="236" w:lineRule="auto"/>
        <w:tabs>
          <w:tab w:leader="none" w:pos="1479"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OFS Fund Director, except in the course of the rightful exercise of his or her board responsibilities, shall reveal to any other person information regarding any OFS Fund or any “Portfolio Company”, defined as any legal entity in which an OFS Fund or another Advisory Client holds an investment regardless of whether or not the investment is a Security, or any investment or Security transaction being considered, recommended, or executed on behalf of any other Advisory Client. (See Section III)</w:t>
      </w:r>
    </w:p>
    <w:p>
      <w:pPr>
        <w:spacing w:after="0" w:line="181" w:lineRule="exact"/>
        <w:rPr>
          <w:rFonts w:ascii="Times New Roman" w:cs="Times New Roman" w:eastAsia="Times New Roman" w:hAnsi="Times New Roman"/>
          <w:sz w:val="22"/>
          <w:szCs w:val="22"/>
          <w:b w:val="1"/>
          <w:bCs w:val="1"/>
          <w:color w:val="auto"/>
        </w:rPr>
      </w:pPr>
    </w:p>
    <w:p>
      <w:pPr>
        <w:jc w:val="both"/>
        <w:ind w:left="1479" w:hanging="681"/>
        <w:spacing w:after="0" w:line="244" w:lineRule="auto"/>
        <w:tabs>
          <w:tab w:leader="none" w:pos="1479"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Supervised Person, unless granted an exception by a Compliance Officer, shall make any recommendation concerning the purchase or sale of a Security by an Advisory Client in which the Firm or any Supervised Person holds an interest including without limitation:</w:t>
      </w:r>
    </w:p>
    <w:p>
      <w:pPr>
        <w:spacing w:after="0" w:line="65" w:lineRule="exact"/>
        <w:rPr>
          <w:rFonts w:ascii="Times New Roman" w:cs="Times New Roman" w:eastAsia="Times New Roman" w:hAnsi="Times New Roman"/>
          <w:sz w:val="22"/>
          <w:szCs w:val="22"/>
          <w:b w:val="1"/>
          <w:bCs w:val="1"/>
          <w:color w:val="auto"/>
        </w:rPr>
      </w:pPr>
    </w:p>
    <w:p>
      <w:pPr>
        <w:ind w:left="2299" w:hanging="688"/>
        <w:spacing w:after="0" w:line="241" w:lineRule="auto"/>
        <w:tabs>
          <w:tab w:leader="none" w:pos="229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ownership interest of 5% or greater in such Security or the issuer thereof.</w:t>
      </w:r>
    </w:p>
    <w:p>
      <w:pPr>
        <w:spacing w:after="0" w:line="1" w:lineRule="exact"/>
        <w:rPr>
          <w:rFonts w:ascii="Times New Roman" w:cs="Times New Roman" w:eastAsia="Times New Roman" w:hAnsi="Times New Roman"/>
          <w:sz w:val="22"/>
          <w:szCs w:val="22"/>
          <w:color w:val="auto"/>
        </w:rPr>
      </w:pPr>
    </w:p>
    <w:p>
      <w:pPr>
        <w:ind w:left="2299" w:hanging="688"/>
        <w:spacing w:after="0" w:line="230" w:lineRule="auto"/>
        <w:tabs>
          <w:tab w:leader="none" w:pos="229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contemplated transaction by such person in such Investment.</w:t>
      </w:r>
    </w:p>
    <w:p>
      <w:pPr>
        <w:ind w:left="2299" w:hanging="688"/>
        <w:spacing w:after="0"/>
        <w:tabs>
          <w:tab w:leader="none" w:pos="229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present or proposed relationship with respect to such Investment.</w:t>
      </w:r>
    </w:p>
    <w:p>
      <w:pPr>
        <w:spacing w:after="0" w:line="74" w:lineRule="exact"/>
        <w:rPr>
          <w:rFonts w:ascii="Times New Roman" w:cs="Times New Roman" w:eastAsia="Times New Roman" w:hAnsi="Times New Roman"/>
          <w:sz w:val="22"/>
          <w:szCs w:val="22"/>
          <w:color w:val="auto"/>
        </w:rPr>
      </w:pPr>
    </w:p>
    <w:p>
      <w:pPr>
        <w:jc w:val="both"/>
        <w:ind w:left="1479" w:hanging="681"/>
        <w:spacing w:after="0" w:line="239" w:lineRule="auto"/>
        <w:tabs>
          <w:tab w:leader="none" w:pos="1479"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certain exceptions permitted by applicable law and the prior approval of the Compliance Department, no Advisory Client may, directly or indirectly extend, maintain or arrange for the extension of credit or the renewal of an extension of credit, in the form of a personal loan to any officer or director of the Fund. Any Supervised Person or person</w:t>
      </w:r>
    </w:p>
    <w:p>
      <w:pPr>
        <w:spacing w:after="0" w:line="243" w:lineRule="exact"/>
        <w:rPr>
          <w:sz w:val="20"/>
          <w:szCs w:val="20"/>
          <w:color w:val="auto"/>
        </w:rPr>
      </w:pPr>
    </w:p>
    <w:p>
      <w:pPr>
        <w:ind w:left="-1" w:right="240" w:firstLine="1"/>
        <w:spacing w:after="0" w:line="223" w:lineRule="auto"/>
        <w:tabs>
          <w:tab w:leader="none" w:pos="105"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Private Placement is defined as an offering that is exempt from registration under the Securities Act of 1933, as amended (the “Securities Act”), pursuant to section 4(2) or section 4(5) or pursuant to rule 504, rule 505 or rule 506 thereunder.</w:t>
      </w:r>
    </w:p>
    <w:p>
      <w:pPr>
        <w:spacing w:after="0" w:line="200" w:lineRule="exact"/>
        <w:rPr>
          <w:sz w:val="20"/>
          <w:szCs w:val="20"/>
          <w:color w:val="auto"/>
        </w:rPr>
      </w:pPr>
    </w:p>
    <w:p>
      <w:pPr>
        <w:spacing w:after="0" w:line="233"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2"/>
          <w:szCs w:val="22"/>
          <w:color w:val="auto"/>
        </w:rPr>
        <w:t>Page -6-</w:t>
      </w:r>
    </w:p>
    <w:p>
      <w:pPr>
        <w:spacing w:after="0" w:line="44"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812800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9"/>
          </w:cols>
          <w:pgMar w:left="781" w:top="1440" w:right="899" w:bottom="1440" w:gutter="0" w:footer="0" w:header="0"/>
        </w:sectPr>
      </w:pPr>
    </w:p>
    <w:bookmarkStart w:id="74" w:name="page75"/>
    <w:bookmarkEnd w:id="7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2403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5">
                      <a:extLst>
                        <a:ext uri="{28A0092B-C50C-407E-A947-70E740481C1C}"/>
                      </a:extLst>
                    </a:blip>
                    <a:srcRect/>
                    <a:stretch>
                      <a:fillRect/>
                    </a:stretch>
                  </pic:blipFill>
                  <pic:spPr bwMode="auto">
                    <a:xfrm>
                      <a:off x="0" y="0"/>
                      <a:ext cx="7136130" cy="8240395"/>
                    </a:xfrm>
                    <a:prstGeom prst="rect">
                      <a:avLst/>
                    </a:prstGeom>
                    <a:noFill/>
                  </pic:spPr>
                </pic:pic>
              </a:graphicData>
            </a:graphic>
          </wp:anchor>
        </w:drawing>
      </w:r>
    </w:p>
    <w:p>
      <w:pPr>
        <w:jc w:val="both"/>
        <w:ind w:left="820"/>
        <w:spacing w:after="0" w:line="238" w:lineRule="auto"/>
        <w:rPr>
          <w:sz w:val="20"/>
          <w:szCs w:val="20"/>
          <w:color w:val="auto"/>
        </w:rPr>
      </w:pPr>
      <w:r>
        <w:rPr>
          <w:rFonts w:ascii="Times New Roman" w:cs="Times New Roman" w:eastAsia="Times New Roman" w:hAnsi="Times New Roman"/>
          <w:sz w:val="22"/>
          <w:szCs w:val="22"/>
          <w:color w:val="auto"/>
        </w:rPr>
        <w:t>serving as a director on the board of directors of any OFS Fund (“OFS Fund Director”), who becomes aware that their respective OFS Fund may be extending or arranging for the extension of credit to a director or officer, or person serving an equivalent function, should notify and consult with the Compliance Department to ensure that the proposed extension of credit complies with this Code and the applicable law.</w:t>
      </w:r>
    </w:p>
    <w:p>
      <w:pPr>
        <w:spacing w:after="0" w:line="177" w:lineRule="exact"/>
        <w:rPr>
          <w:sz w:val="20"/>
          <w:szCs w:val="20"/>
          <w:color w:val="auto"/>
        </w:rPr>
      </w:pPr>
    </w:p>
    <w:p>
      <w:pPr>
        <w:ind w:left="820" w:right="20" w:hanging="681"/>
        <w:spacing w:after="0" w:line="258" w:lineRule="auto"/>
        <w:tabs>
          <w:tab w:leader="none" w:pos="82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Supervised Person shall engage in insider trading (as described in the “Inside Information Policy” in Section III) whether for his or her own benefit or for the benefit of others.</w:t>
      </w:r>
    </w:p>
    <w:p>
      <w:pPr>
        <w:spacing w:after="0" w:line="158" w:lineRule="exact"/>
        <w:rPr>
          <w:rFonts w:ascii="Times New Roman" w:cs="Times New Roman" w:eastAsia="Times New Roman" w:hAnsi="Times New Roman"/>
          <w:sz w:val="22"/>
          <w:szCs w:val="22"/>
          <w:b w:val="1"/>
          <w:bCs w:val="1"/>
          <w:color w:val="auto"/>
        </w:rPr>
      </w:pPr>
    </w:p>
    <w:p>
      <w:pPr>
        <w:jc w:val="both"/>
        <w:ind w:left="820" w:hanging="681"/>
        <w:spacing w:after="0" w:line="244" w:lineRule="auto"/>
        <w:tabs>
          <w:tab w:leader="none" w:pos="820"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 Supervised Person may communicate material, nonpublic information ("MNPI") concerning any Security, or its issuer, or Portfolio Company to anyone unless it is properly within his or her duties to do so. No OFS Fund Director may communicate MNPI to anyone, unless it is properly within their duties to do so, concerning any Security of an issuer in which the OFS Fund Director knows, or should have known, in the course of his or her duties as a director, that the OFS Fund has a current investment, or with respect to which an investment or Security is Being Considered for Purchase or Sale by any OFS Fund (“OFS Fund Portfolio Security”) or Portfolio Company of their respective OFS Fund to anyone unless it is properly within his or her duties to do so. A Security is “Being Considered for Purchase or Sale” when a recommendation to purchase or sell the Security has been made and communicated and, with respect to the person making the recommendation, when such person seriously considers making such a recommendation. In all cases, a Security which has been recommended for purchase or sale pursuant to an Investment Committee memorandum, presentation, due diligence package or other formal Investment Committee recommendation shall be deemed to be a Security Being Considered for Purchase or Sale.</w:t>
      </w:r>
    </w:p>
    <w:p>
      <w:pPr>
        <w:spacing w:after="0" w:line="180" w:lineRule="exact"/>
        <w:rPr>
          <w:rFonts w:ascii="Times New Roman" w:cs="Times New Roman" w:eastAsia="Times New Roman" w:hAnsi="Times New Roman"/>
          <w:sz w:val="21"/>
          <w:szCs w:val="21"/>
          <w:b w:val="1"/>
          <w:bCs w:val="1"/>
          <w:color w:val="auto"/>
        </w:rPr>
      </w:pPr>
    </w:p>
    <w:p>
      <w:pPr>
        <w:jc w:val="both"/>
        <w:ind w:left="820" w:hanging="681"/>
        <w:spacing w:after="0" w:line="235" w:lineRule="auto"/>
        <w:tabs>
          <w:tab w:leader="none" w:pos="82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Supervised Person shall complete a compliance questionnaire (the “Regulatory Compliance Disclosure”) prior to employment and/or becoming a Supervised Person and annually thereafter, within the prescribed deadline, as provided by the Compliance Department, (“Compliance Due Date”) through the Firm’s compliance portal. Each Supervised Person shall supplement the Regulatory Compliance Disclosure, as necessary, to reflect any material changes between annual disclosures filings, and must immediately notify Compliance Department if any of the conditions addressed in the Regulatory Compliance Disclosure become applicable to such Supervised Person.</w:t>
      </w:r>
    </w:p>
    <w:p>
      <w:pPr>
        <w:spacing w:after="0" w:line="183" w:lineRule="exact"/>
        <w:rPr>
          <w:rFonts w:ascii="Times New Roman" w:cs="Times New Roman" w:eastAsia="Times New Roman" w:hAnsi="Times New Roman"/>
          <w:sz w:val="22"/>
          <w:szCs w:val="22"/>
          <w:b w:val="1"/>
          <w:bCs w:val="1"/>
          <w:color w:val="auto"/>
        </w:rPr>
      </w:pPr>
    </w:p>
    <w:p>
      <w:pPr>
        <w:ind w:left="820" w:hanging="681"/>
        <w:spacing w:after="0" w:line="258" w:lineRule="auto"/>
        <w:tabs>
          <w:tab w:leader="none" w:pos="82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Every Supervised Person must avoid any activity that might give rise to a question as to whether the Firm’s objectivity as a fiduciary has been compromised (See Section V).</w:t>
      </w:r>
    </w:p>
    <w:p>
      <w:pPr>
        <w:spacing w:after="0" w:line="158" w:lineRule="exact"/>
        <w:rPr>
          <w:rFonts w:ascii="Times New Roman" w:cs="Times New Roman" w:eastAsia="Times New Roman" w:hAnsi="Times New Roman"/>
          <w:sz w:val="22"/>
          <w:szCs w:val="22"/>
          <w:b w:val="1"/>
          <w:bCs w:val="1"/>
          <w:color w:val="auto"/>
        </w:rPr>
      </w:pPr>
    </w:p>
    <w:p>
      <w:pPr>
        <w:jc w:val="both"/>
        <w:ind w:left="820" w:hanging="681"/>
        <w:spacing w:after="0" w:line="244" w:lineRule="auto"/>
        <w:tabs>
          <w:tab w:leader="none" w:pos="82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Access Persons are required to disclose to a Compliance Officer the existence of any account that has the ability to hold any Reportable Securities (e.g., brokerage or trading accounts and IRAs), as well the account’s holdings (immediately upon commencement of</w:t>
      </w:r>
    </w:p>
    <w:p>
      <w:pPr>
        <w:spacing w:after="0" w:line="200" w:lineRule="exact"/>
        <w:rPr>
          <w:sz w:val="20"/>
          <w:szCs w:val="20"/>
          <w:color w:val="auto"/>
        </w:rPr>
      </w:pPr>
    </w:p>
    <w:p>
      <w:pPr>
        <w:spacing w:after="0" w:line="2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2"/>
          <w:szCs w:val="22"/>
          <w:color w:val="auto"/>
        </w:rPr>
        <w:t>Page -7-</w:t>
      </w:r>
    </w:p>
    <w:p>
      <w:pPr>
        <w:spacing w:after="0" w:line="4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812800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440" w:top="1440" w:right="899" w:bottom="1440" w:gutter="0" w:footer="0" w:header="0"/>
        </w:sectPr>
      </w:pPr>
    </w:p>
    <w:bookmarkStart w:id="75" w:name="page76"/>
    <w:bookmarkEnd w:id="75"/>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8543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7">
                      <a:extLst>
                        <a:ext uri="{28A0092B-C50C-407E-A947-70E740481C1C}"/>
                      </a:extLst>
                    </a:blip>
                    <a:srcRect/>
                    <a:stretch>
                      <a:fillRect/>
                    </a:stretch>
                  </pic:blipFill>
                  <pic:spPr bwMode="auto">
                    <a:xfrm>
                      <a:off x="0" y="0"/>
                      <a:ext cx="7136130" cy="7854315"/>
                    </a:xfrm>
                    <a:prstGeom prst="rect">
                      <a:avLst/>
                    </a:prstGeom>
                    <a:noFill/>
                  </pic:spPr>
                </pic:pic>
              </a:graphicData>
            </a:graphic>
          </wp:anchor>
        </w:drawing>
      </w:r>
    </w:p>
    <w:p>
      <w:pPr>
        <w:jc w:val="both"/>
        <w:ind w:left="1369"/>
        <w:spacing w:after="0" w:line="245" w:lineRule="auto"/>
        <w:rPr>
          <w:sz w:val="20"/>
          <w:szCs w:val="20"/>
          <w:color w:val="auto"/>
        </w:rPr>
      </w:pPr>
      <w:r>
        <w:rPr>
          <w:rFonts w:ascii="Times New Roman" w:cs="Times New Roman" w:eastAsia="Times New Roman" w:hAnsi="Times New Roman"/>
          <w:sz w:val="21"/>
          <w:szCs w:val="21"/>
          <w:color w:val="auto"/>
        </w:rPr>
        <w:t>employment (which shall include the accounts and holdings of the Access Person’s Related Persons), and in no case later than ten (10) calendar days beyond the Access Person’s start date. Such Accounts must be disclosed even if they contain a zero balance or non-Reportable Securities. Access Persons are required to disclose accounts that are Managed Accounts; however, disclosing the holdings of such Managed Accounts is not required. With limited exceptions provided herein, Access Persons are also required to maintain Non-Managed Accounts capable of holding Reportable Securities with Approved Brokers, which have contracted to provide holdings and transaction reporting to the Compliance Department on the Firm’s compliance portal. Access Persons must confirm the accuracy and completeness of the information so provided to the Firm on a quarterly and annual basis by the Compliance Due Date. Initial and quarterly reports must disclose the existence of all accounts, even if none of those accounts at the time hold a Reportable Security. (See Section II).</w:t>
      </w:r>
    </w:p>
    <w:p>
      <w:pPr>
        <w:spacing w:after="0" w:line="177" w:lineRule="exact"/>
        <w:rPr>
          <w:sz w:val="20"/>
          <w:szCs w:val="20"/>
          <w:color w:val="auto"/>
        </w:rPr>
      </w:pPr>
    </w:p>
    <w:p>
      <w:pPr>
        <w:jc w:val="both"/>
        <w:ind w:left="1369" w:hanging="681"/>
        <w:spacing w:after="0" w:line="235" w:lineRule="auto"/>
        <w:tabs>
          <w:tab w:leader="none" w:pos="1369"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intentional creation, transmission or use of false rumors is inconsistent with the Firm’s commitment to high ethical standards and may violate the antifraud provisions of the Advisers Act, among other securities laws of the United States. Accordingly, no Supervised Person may maliciously create, disseminate or use false rumors. This prohibition covers oral and written communications, including the use of electronic communication media such as e-mail, PIN messages, instant messages, tweets, text messages, blogs, and chat rooms. Because of the difficulty identifying “false” rumors, the Firm discourages Supervised Persons from creating, passing, or using any rumor.</w:t>
      </w:r>
    </w:p>
    <w:p>
      <w:pPr>
        <w:spacing w:after="0" w:line="200" w:lineRule="exact"/>
        <w:rPr>
          <w:rFonts w:ascii="Times New Roman" w:cs="Times New Roman" w:eastAsia="Times New Roman" w:hAnsi="Times New Roman"/>
          <w:sz w:val="22"/>
          <w:szCs w:val="22"/>
          <w:b w:val="1"/>
          <w:bCs w:val="1"/>
          <w:color w:val="auto"/>
        </w:rPr>
      </w:pPr>
    </w:p>
    <w:p>
      <w:pPr>
        <w:spacing w:after="0" w:line="203" w:lineRule="exact"/>
        <w:rPr>
          <w:rFonts w:ascii="Times New Roman" w:cs="Times New Roman" w:eastAsia="Times New Roman" w:hAnsi="Times New Roman"/>
          <w:sz w:val="22"/>
          <w:szCs w:val="22"/>
          <w:b w:val="1"/>
          <w:bCs w:val="1"/>
          <w:color w:val="auto"/>
        </w:rPr>
      </w:pPr>
    </w:p>
    <w:p>
      <w:pPr>
        <w:ind w:left="689" w:hanging="689"/>
        <w:spacing w:after="0"/>
        <w:tabs>
          <w:tab w:leader="none" w:pos="689"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PERIODIC COMPLIANCE REPORTING AND TRAININ</w:t>
      </w:r>
      <w:r>
        <w:rPr>
          <w:rFonts w:ascii="Times New Roman" w:cs="Times New Roman" w:eastAsia="Times New Roman" w:hAnsi="Times New Roman"/>
          <w:sz w:val="19"/>
          <w:szCs w:val="19"/>
          <w:color w:val="auto"/>
        </w:rPr>
        <w:t>G</w:t>
      </w:r>
    </w:p>
    <w:p>
      <w:pPr>
        <w:spacing w:after="0" w:line="210" w:lineRule="exact"/>
        <w:rPr>
          <w:rFonts w:ascii="Times New Roman" w:cs="Times New Roman" w:eastAsia="Times New Roman" w:hAnsi="Times New Roman"/>
          <w:sz w:val="22"/>
          <w:szCs w:val="22"/>
          <w:b w:val="1"/>
          <w:bCs w:val="1"/>
          <w:color w:val="auto"/>
        </w:rPr>
      </w:pPr>
    </w:p>
    <w:p>
      <w:pPr>
        <w:ind w:left="689"/>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Supervised Person is required to complete all assigned compliance certifications, disclosures and</w:t>
      </w:r>
    </w:p>
    <w:p>
      <w:pPr>
        <w:spacing w:after="0" w:line="14" w:lineRule="exact"/>
        <w:rPr>
          <w:sz w:val="20"/>
          <w:szCs w:val="20"/>
          <w:color w:val="auto"/>
        </w:rPr>
      </w:pPr>
    </w:p>
    <w:p>
      <w:pPr>
        <w:jc w:val="both"/>
        <w:ind w:left="9"/>
        <w:spacing w:after="0" w:line="235" w:lineRule="auto"/>
        <w:rPr>
          <w:sz w:val="20"/>
          <w:szCs w:val="20"/>
          <w:color w:val="auto"/>
        </w:rPr>
      </w:pPr>
      <w:r>
        <w:rPr>
          <w:rFonts w:ascii="Times New Roman" w:cs="Times New Roman" w:eastAsia="Times New Roman" w:hAnsi="Times New Roman"/>
          <w:sz w:val="22"/>
          <w:szCs w:val="22"/>
          <w:color w:val="auto"/>
        </w:rPr>
        <w:t>trainings by the Compliance Due Date. Absent an exemption granted to you by a Compliance Officer, failure to complete such items by the Compliance Due Date will likely constitute a violation of this Code and may result in the imposition of sanctions.</w:t>
      </w:r>
    </w:p>
    <w:p>
      <w:pPr>
        <w:spacing w:after="0" w:line="70" w:lineRule="exact"/>
        <w:rPr>
          <w:sz w:val="20"/>
          <w:szCs w:val="20"/>
          <w:color w:val="auto"/>
        </w:rPr>
      </w:pPr>
    </w:p>
    <w:p>
      <w:pPr>
        <w:jc w:val="both"/>
        <w:ind w:left="9" w:firstLine="688"/>
        <w:spacing w:after="0" w:line="236" w:lineRule="auto"/>
        <w:rPr>
          <w:sz w:val="20"/>
          <w:szCs w:val="20"/>
          <w:color w:val="auto"/>
        </w:rPr>
      </w:pPr>
      <w:r>
        <w:rPr>
          <w:rFonts w:ascii="Times New Roman" w:cs="Times New Roman" w:eastAsia="Times New Roman" w:hAnsi="Times New Roman"/>
          <w:sz w:val="22"/>
          <w:szCs w:val="22"/>
          <w:color w:val="auto"/>
        </w:rPr>
        <w:t>The Compliance Department also presents and/or coordinates mandatory training on this Code at least biennially and may assign mandatory or voluntary training on the Code or other Firm policies at such other times as the Compliance Department deems appropriate. Failure to attend or complete mandatory training sessions, unless excused in writing by a Compliance Officer, will likely constitute a violation of this Code and may lead to the imposition of sanctions. The Compliance Department maintains an attendance or completion list, as appropriate, of all Supervised Persons assigned to such training sessions.</w:t>
      </w:r>
    </w:p>
    <w:p>
      <w:pPr>
        <w:spacing w:after="0" w:line="200" w:lineRule="exact"/>
        <w:rPr>
          <w:sz w:val="20"/>
          <w:szCs w:val="20"/>
          <w:color w:val="auto"/>
        </w:rPr>
      </w:pPr>
    </w:p>
    <w:p>
      <w:pPr>
        <w:spacing w:after="0" w:line="33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-8-</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76" w:name="page77"/>
    <w:bookmarkEnd w:id="76"/>
    <w:p>
      <w:pPr>
        <w:ind w:left="689" w:hanging="689"/>
        <w:spacing w:after="0"/>
        <w:tabs>
          <w:tab w:leader="none" w:pos="689"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6403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9">
                      <a:extLst>
                        <a:ext uri="{28A0092B-C50C-407E-A947-70E740481C1C}"/>
                      </a:extLst>
                    </a:blip>
                    <a:srcRect/>
                    <a:stretch>
                      <a:fillRect/>
                    </a:stretch>
                  </pic:blipFill>
                  <pic:spPr bwMode="auto">
                    <a:xfrm>
                      <a:off x="0" y="0"/>
                      <a:ext cx="7136130" cy="7640320"/>
                    </a:xfrm>
                    <a:prstGeom prst="rect">
                      <a:avLst/>
                    </a:prstGeom>
                    <a:noFill/>
                  </pic:spPr>
                </pic:pic>
              </a:graphicData>
            </a:graphic>
          </wp:anchor>
        </w:drawing>
        <w:t>ACKNOWLEDGMENT</w:t>
      </w:r>
    </w:p>
    <w:p>
      <w:pPr>
        <w:spacing w:after="0" w:line="210" w:lineRule="exact"/>
        <w:rPr>
          <w:sz w:val="20"/>
          <w:szCs w:val="20"/>
          <w:color w:val="auto"/>
        </w:rPr>
      </w:pPr>
    </w:p>
    <w:p>
      <w:pPr>
        <w:jc w:val="both"/>
        <w:ind w:left="9" w:firstLine="688"/>
        <w:spacing w:after="0" w:line="239" w:lineRule="auto"/>
        <w:rPr>
          <w:sz w:val="20"/>
          <w:szCs w:val="20"/>
          <w:color w:val="auto"/>
        </w:rPr>
      </w:pPr>
      <w:r>
        <w:rPr>
          <w:rFonts w:ascii="Times New Roman" w:cs="Times New Roman" w:eastAsia="Times New Roman" w:hAnsi="Times New Roman"/>
          <w:sz w:val="22"/>
          <w:szCs w:val="22"/>
          <w:color w:val="auto"/>
        </w:rPr>
        <w:t>Each Supervised Person must certify upon commencement of employment, at least annually thereafter, and at such other times as a Compliance Officer may determine, that he or she has read, understands, is subject to and has complied with the Code. Any Supervised Person who has any questions about the applicability of the Code to a particular situation should promptly consult with a Compliance Officer.</w:t>
      </w:r>
    </w:p>
    <w:p>
      <w:pPr>
        <w:spacing w:after="0" w:line="176" w:lineRule="exact"/>
        <w:rPr>
          <w:sz w:val="20"/>
          <w:szCs w:val="20"/>
          <w:color w:val="auto"/>
        </w:rPr>
      </w:pPr>
    </w:p>
    <w:p>
      <w:pPr>
        <w:ind w:left="689" w:hanging="689"/>
        <w:spacing w:after="0"/>
        <w:tabs>
          <w:tab w:leader="none" w:pos="689"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AND SANCTIONS</w:t>
      </w:r>
    </w:p>
    <w:p>
      <w:pPr>
        <w:spacing w:after="0" w:line="210" w:lineRule="exact"/>
        <w:rPr>
          <w:sz w:val="20"/>
          <w:szCs w:val="20"/>
          <w:color w:val="auto"/>
        </w:rPr>
      </w:pPr>
    </w:p>
    <w:p>
      <w:pPr>
        <w:jc w:val="both"/>
        <w:ind w:left="9" w:firstLine="688"/>
        <w:spacing w:after="0" w:line="235" w:lineRule="auto"/>
        <w:rPr>
          <w:sz w:val="20"/>
          <w:szCs w:val="20"/>
          <w:color w:val="auto"/>
        </w:rPr>
      </w:pPr>
      <w:r>
        <w:rPr>
          <w:rFonts w:ascii="Times New Roman" w:cs="Times New Roman" w:eastAsia="Times New Roman" w:hAnsi="Times New Roman"/>
          <w:sz w:val="22"/>
          <w:szCs w:val="22"/>
          <w:color w:val="auto"/>
        </w:rPr>
        <w:t>While compliance with the provisions of the Code is anticipated, Supervised Persons should be aware that, in response to any violations, the Firm (or any OFS Fund, as applicable) shall take any action deemed necessary under the circumstances including, but without limitation, the imposition of appropriate sanctions. These sanctions may include, among others, verbal or written warnings, the reversal of trades, reallocation of trades to client accounts, disgorgement of profits, suspension or termination of personal trading or investment privileges, reduction in bonus or bonus opportunity, payment of a monetary fine payable to a recognized charitable organization of the Supervised Person’s choice or, in more serious cases, suspension or termination of employment and/or the making of any civil or criminal referral to the appropriate governmental authorities.</w:t>
      </w:r>
    </w:p>
    <w:p>
      <w:pPr>
        <w:spacing w:after="0" w:line="70" w:lineRule="exact"/>
        <w:rPr>
          <w:sz w:val="20"/>
          <w:szCs w:val="20"/>
          <w:color w:val="auto"/>
        </w:rPr>
      </w:pPr>
    </w:p>
    <w:p>
      <w:pPr>
        <w:jc w:val="both"/>
        <w:ind w:left="9" w:firstLine="688"/>
        <w:spacing w:after="0" w:line="235" w:lineRule="auto"/>
        <w:rPr>
          <w:sz w:val="20"/>
          <w:szCs w:val="20"/>
          <w:color w:val="auto"/>
        </w:rPr>
      </w:pPr>
      <w:r>
        <w:rPr>
          <w:rFonts w:ascii="Times New Roman" w:cs="Times New Roman" w:eastAsia="Times New Roman" w:hAnsi="Times New Roman"/>
          <w:sz w:val="22"/>
          <w:szCs w:val="22"/>
          <w:color w:val="auto"/>
        </w:rPr>
        <w:t>Moreover, Supervised Persons are required to promptly report any violation(s) of this Code, any other compliance policies adopted by OFS Adviser or the Rule 38a-1 Manual adopted by any OFS Fund (collectively “Compliance Policies”), or any activity that may adversely affect the Firm’s or any OFS Fund’s business or reputation, to a Compliance Officer. The Compliance Department shall maintain a record of all violations of the Code or other Compliance Policies and any corrective actions taken. Super-vised Persons are encouraged to report any concerns or problem to their supervisor, however, OFS Adviser has also established a third-party confidential hotline that enables employees to report any incident on a confidential and anonymous basis.</w:t>
      </w:r>
    </w:p>
    <w:p>
      <w:pPr>
        <w:spacing w:after="0" w:line="75" w:lineRule="exact"/>
        <w:rPr>
          <w:sz w:val="20"/>
          <w:szCs w:val="20"/>
          <w:color w:val="auto"/>
        </w:rPr>
      </w:pPr>
    </w:p>
    <w:p>
      <w:pPr>
        <w:jc w:val="both"/>
        <w:ind w:left="9" w:firstLine="688"/>
        <w:spacing w:after="0" w:line="238" w:lineRule="auto"/>
        <w:rPr>
          <w:sz w:val="20"/>
          <w:szCs w:val="20"/>
          <w:color w:val="auto"/>
        </w:rPr>
      </w:pPr>
      <w:r>
        <w:rPr>
          <w:rFonts w:ascii="Times New Roman" w:cs="Times New Roman" w:eastAsia="Times New Roman" w:hAnsi="Times New Roman"/>
          <w:sz w:val="22"/>
          <w:szCs w:val="22"/>
          <w:color w:val="auto"/>
        </w:rPr>
        <w:t xml:space="preserve">Reporting should be made through a letter to a Compliance Officer or via the telephonic and electronic reporting procedures detailed in the Firm’s “Whistleblower Hotline Information” attached hereto as </w:t>
      </w:r>
      <w:r>
        <w:rPr>
          <w:rFonts w:ascii="Times New Roman" w:cs="Times New Roman" w:eastAsia="Times New Roman" w:hAnsi="Times New Roman"/>
          <w:sz w:val="22"/>
          <w:szCs w:val="22"/>
          <w:b w:val="1"/>
          <w:bCs w:val="1"/>
          <w:i w:val="1"/>
          <w:iCs w:val="1"/>
          <w:color w:val="auto"/>
        </w:rPr>
        <w:t>Attachment A</w:t>
      </w:r>
      <w:r>
        <w:rPr>
          <w:rFonts w:ascii="Times New Roman" w:cs="Times New Roman" w:eastAsia="Times New Roman" w:hAnsi="Times New Roman"/>
          <w:sz w:val="22"/>
          <w:szCs w:val="22"/>
          <w:color w:val="auto"/>
        </w:rPr>
        <w:t>. Further, all activities reported by Supervised Persons will be treated anonymously and confidentially (to the extent reasonably practicable) in order to encourage Supervised Persons to come forward with perceived problems. The Firm and each OFS Fund are committed to a full, unbiased review of any matter(s) raised.</w:t>
      </w:r>
    </w:p>
    <w:p>
      <w:pPr>
        <w:spacing w:after="0" w:line="69" w:lineRule="exact"/>
        <w:rPr>
          <w:sz w:val="20"/>
          <w:szCs w:val="20"/>
          <w:color w:val="auto"/>
        </w:rPr>
      </w:pPr>
    </w:p>
    <w:p>
      <w:pPr>
        <w:jc w:val="both"/>
        <w:ind w:left="9" w:right="20" w:firstLine="688"/>
        <w:spacing w:after="0" w:line="255" w:lineRule="auto"/>
        <w:rPr>
          <w:sz w:val="20"/>
          <w:szCs w:val="20"/>
          <w:color w:val="auto"/>
        </w:rPr>
      </w:pPr>
      <w:r>
        <w:rPr>
          <w:rFonts w:ascii="Times New Roman" w:cs="Times New Roman" w:eastAsia="Times New Roman" w:hAnsi="Times New Roman"/>
          <w:sz w:val="21"/>
          <w:szCs w:val="21"/>
          <w:color w:val="auto"/>
        </w:rPr>
        <w:t>The Firm and OFS Fund prohibit retaliation against any such personnel who, in good faith, seeks help or reports known or suspected violations (even if the reported event is determined not to be a violation), including Supervised Persons who assist in making a report or who cooperate in an investigation. Any Supervised Person who engages in retaliatory conduct will be subject to disciplinary action, up to and including termination of employment.</w:t>
      </w:r>
    </w:p>
    <w:p>
      <w:pPr>
        <w:spacing w:after="0" w:line="200" w:lineRule="exact"/>
        <w:rPr>
          <w:sz w:val="20"/>
          <w:szCs w:val="20"/>
          <w:color w:val="auto"/>
        </w:rPr>
      </w:pPr>
    </w:p>
    <w:p>
      <w:pPr>
        <w:spacing w:after="0" w:line="20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-9-</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04" w:right="899"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2918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1">
                      <a:extLst>
                        <a:ext uri="{28A0092B-C50C-407E-A947-70E740481C1C}"/>
                      </a:extLst>
                    </a:blip>
                    <a:srcRect/>
                    <a:stretch>
                      <a:fillRect/>
                    </a:stretch>
                  </pic:blipFill>
                  <pic:spPr bwMode="auto">
                    <a:xfrm>
                      <a:off x="0" y="0"/>
                      <a:ext cx="7136130" cy="8291830"/>
                    </a:xfrm>
                    <a:prstGeom prst="rect">
                      <a:avLst/>
                    </a:prstGeom>
                    <a:noFill/>
                  </pic:spPr>
                </pic:pic>
              </a:graphicData>
            </a:graphic>
          </wp:anchor>
        </w:drawing>
      </w:r>
    </w:p>
    <w:p>
      <w:pPr>
        <w:spacing w:after="0" w:line="224" w:lineRule="exact"/>
        <w:rPr>
          <w:sz w:val="20"/>
          <w:szCs w:val="20"/>
          <w:color w:val="auto"/>
        </w:rPr>
      </w:pPr>
    </w:p>
    <w:p>
      <w:pPr>
        <w:ind w:left="689" w:hanging="689"/>
        <w:spacing w:after="0"/>
        <w:tabs>
          <w:tab w:leader="none" w:pos="689"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RESTRICTIONS AND WAIVERS BY OFS ADVISER AND THE OFS FUNDS</w:t>
      </w:r>
    </w:p>
    <w:p>
      <w:pPr>
        <w:spacing w:after="0" w:line="210" w:lineRule="exact"/>
        <w:rPr>
          <w:sz w:val="20"/>
          <w:szCs w:val="20"/>
          <w:color w:val="auto"/>
        </w:rPr>
      </w:pPr>
    </w:p>
    <w:p>
      <w:pPr>
        <w:jc w:val="both"/>
        <w:ind w:left="9" w:firstLine="688"/>
        <w:spacing w:after="0" w:line="235" w:lineRule="auto"/>
        <w:rPr>
          <w:sz w:val="20"/>
          <w:szCs w:val="20"/>
          <w:color w:val="auto"/>
        </w:rPr>
      </w:pPr>
      <w:r>
        <w:rPr>
          <w:rFonts w:ascii="Times New Roman" w:cs="Times New Roman" w:eastAsia="Times New Roman" w:hAnsi="Times New Roman"/>
          <w:sz w:val="22"/>
          <w:szCs w:val="22"/>
          <w:color w:val="auto"/>
        </w:rPr>
        <w:t>From time to time, a Compliance Officer may determine that it is in the best interests of the Firm to subject certain Supervised Persons or other persons (i.e., consultants and third party service providers) to restrictions or requirements in addition to those set forth in the Code. In such cases, the affected persons will be notified of the additional restrictions or requirements and will be required to abide by them as if they were included in the Code. In addition, under extraordinary circumstances, a Compliance Officer may grant a waiver of certain of these restrictions or requirements contained in the Code on a case-by-case basis. In order for a Supervised Person to rely on any such waiver, it must be granted in writing.</w:t>
      </w:r>
    </w:p>
    <w:p>
      <w:pPr>
        <w:spacing w:after="0" w:line="75" w:lineRule="exact"/>
        <w:rPr>
          <w:sz w:val="20"/>
          <w:szCs w:val="20"/>
          <w:color w:val="auto"/>
        </w:rPr>
      </w:pPr>
    </w:p>
    <w:p>
      <w:pPr>
        <w:jc w:val="both"/>
        <w:ind w:left="9" w:firstLine="688"/>
        <w:spacing w:after="0" w:line="244" w:lineRule="auto"/>
        <w:rPr>
          <w:sz w:val="20"/>
          <w:szCs w:val="20"/>
          <w:color w:val="auto"/>
        </w:rPr>
      </w:pPr>
      <w:r>
        <w:rPr>
          <w:rFonts w:ascii="Times New Roman" w:cs="Times New Roman" w:eastAsia="Times New Roman" w:hAnsi="Times New Roman"/>
          <w:sz w:val="22"/>
          <w:szCs w:val="22"/>
          <w:color w:val="auto"/>
        </w:rPr>
        <w:t>Any waiver of the requirements of the Code for any OFS Fund Director may be made only by the respective OFS Fund’s board of directors or a committee of the board, and must be promptly disclosed to shareholders of the OFS Fund as required by law or relevant exchange rule or regulation.</w:t>
      </w:r>
    </w:p>
    <w:p>
      <w:pPr>
        <w:spacing w:after="0" w:line="65" w:lineRule="exact"/>
        <w:rPr>
          <w:sz w:val="20"/>
          <w:szCs w:val="20"/>
          <w:color w:val="auto"/>
        </w:rPr>
      </w:pPr>
    </w:p>
    <w:p>
      <w:pPr>
        <w:jc w:val="both"/>
        <w:ind w:left="9" w:right="20" w:firstLine="688"/>
        <w:spacing w:after="0" w:line="258" w:lineRule="auto"/>
        <w:rPr>
          <w:sz w:val="20"/>
          <w:szCs w:val="20"/>
          <w:color w:val="auto"/>
        </w:rPr>
      </w:pPr>
      <w:r>
        <w:rPr>
          <w:rFonts w:ascii="Times New Roman" w:cs="Times New Roman" w:eastAsia="Times New Roman" w:hAnsi="Times New Roman"/>
          <w:sz w:val="22"/>
          <w:szCs w:val="22"/>
          <w:color w:val="auto"/>
        </w:rPr>
        <w:t>The Compliance Department maintains a log of all requests for exceptions and waivers and the determinations made with respect to such requests.</w:t>
      </w:r>
    </w:p>
    <w:p>
      <w:pPr>
        <w:spacing w:after="0" w:line="46" w:lineRule="exact"/>
        <w:rPr>
          <w:sz w:val="20"/>
          <w:szCs w:val="20"/>
          <w:color w:val="auto"/>
        </w:rPr>
      </w:pPr>
    </w:p>
    <w:p>
      <w:pPr>
        <w:ind w:left="689" w:hanging="689"/>
        <w:spacing w:after="0"/>
        <w:tabs>
          <w:tab w:leader="none" w:pos="689"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REVIEW BY THE BOARD OF DIRECTORS OF EACH OFS FUND</w:t>
      </w:r>
    </w:p>
    <w:p>
      <w:pPr>
        <w:spacing w:after="0" w:line="210" w:lineRule="exact"/>
        <w:rPr>
          <w:sz w:val="20"/>
          <w:szCs w:val="20"/>
          <w:color w:val="auto"/>
        </w:rPr>
      </w:pPr>
    </w:p>
    <w:p>
      <w:pPr>
        <w:jc w:val="both"/>
        <w:ind w:left="9" w:firstLine="688"/>
        <w:spacing w:after="0" w:line="234" w:lineRule="auto"/>
        <w:rPr>
          <w:sz w:val="20"/>
          <w:szCs w:val="20"/>
          <w:color w:val="auto"/>
        </w:rPr>
      </w:pPr>
      <w:r>
        <w:rPr>
          <w:rFonts w:ascii="Times New Roman" w:cs="Times New Roman" w:eastAsia="Times New Roman" w:hAnsi="Times New Roman"/>
          <w:sz w:val="22"/>
          <w:szCs w:val="22"/>
          <w:color w:val="auto"/>
        </w:rPr>
        <w:t>The CCO will prepare a written report to be considered by the board of directors of each OFS Fund (1) quarterly, that identifies any violations of the Code with respect to each OFS Fund requiring significant remedial action during the past quarter and the nature of that remedial action; and (2) annually, that (a) describes any issues arising under the Code since the last written report to the Board, including, but not limited to, information about material violations of the Code and sanctions imposed in response to such violations, and (b) identifies any recommended changes in existing restrictions or procedures based upon each OFS Fund’s and/or OFS Adviser’s experience under the Code, then- prevailing industry practices, or developments in applicable laws or regulations, and (c) certifies that each OFS Fund and OFS Adviser have each adopted procedures reasonably designed to prevent violations of the Code, and of the federal securities laws in accordance with the requirements of the Advisers Act and the Company Act.</w:t>
      </w:r>
    </w:p>
    <w:p>
      <w:pPr>
        <w:spacing w:after="0" w:line="71" w:lineRule="exact"/>
        <w:rPr>
          <w:sz w:val="20"/>
          <w:szCs w:val="20"/>
          <w:color w:val="auto"/>
        </w:rPr>
      </w:pPr>
    </w:p>
    <w:p>
      <w:pPr>
        <w:jc w:val="both"/>
        <w:ind w:left="9" w:firstLine="688"/>
        <w:spacing w:after="0" w:line="244" w:lineRule="auto"/>
        <w:rPr>
          <w:sz w:val="20"/>
          <w:szCs w:val="20"/>
          <w:color w:val="auto"/>
        </w:rPr>
      </w:pPr>
      <w:r>
        <w:rPr>
          <w:rFonts w:ascii="Times New Roman" w:cs="Times New Roman" w:eastAsia="Times New Roman" w:hAnsi="Times New Roman"/>
          <w:sz w:val="22"/>
          <w:szCs w:val="22"/>
          <w:color w:val="auto"/>
        </w:rPr>
        <w:t>The board of directors of each OFS Fund will also be asked to approve any material changes to the Code within six (6) months after the adoption of such change, based on a determination that the Code, as amended, contains policies and procedures reasonably designed to prevent violations of the federal securities laws.</w:t>
      </w:r>
    </w:p>
    <w:p>
      <w:pPr>
        <w:spacing w:after="0" w:line="61" w:lineRule="exact"/>
        <w:rPr>
          <w:sz w:val="20"/>
          <w:szCs w:val="20"/>
          <w:color w:val="auto"/>
        </w:rPr>
      </w:pPr>
    </w:p>
    <w:p>
      <w:pPr>
        <w:ind w:left="689" w:hanging="689"/>
        <w:spacing w:after="0"/>
        <w:tabs>
          <w:tab w:leader="none" w:pos="689"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CCO REPORTING</w:t>
      </w:r>
    </w:p>
    <w:p>
      <w:pPr>
        <w:spacing w:after="0" w:line="210" w:lineRule="exact"/>
        <w:rPr>
          <w:sz w:val="20"/>
          <w:szCs w:val="20"/>
          <w:color w:val="auto"/>
        </w:rPr>
      </w:pPr>
    </w:p>
    <w:p>
      <w:pPr>
        <w:jc w:val="both"/>
        <w:ind w:left="9" w:firstLine="688"/>
        <w:spacing w:after="0" w:line="244" w:lineRule="auto"/>
        <w:rPr>
          <w:sz w:val="20"/>
          <w:szCs w:val="20"/>
          <w:color w:val="auto"/>
        </w:rPr>
      </w:pPr>
      <w:r>
        <w:rPr>
          <w:rFonts w:ascii="Times New Roman" w:cs="Times New Roman" w:eastAsia="Times New Roman" w:hAnsi="Times New Roman"/>
          <w:sz w:val="22"/>
          <w:szCs w:val="22"/>
          <w:color w:val="auto"/>
        </w:rPr>
        <w:t>The CCO prepares a written report to be considered by Senior Management no less than annually, that (a) describes any issues arising under the Code since the last written report, including, but not limited to, information about material violations of the Code and sanctions imposed in response to such</w:t>
      </w:r>
    </w:p>
    <w:p>
      <w:pPr>
        <w:spacing w:after="0" w:line="200" w:lineRule="exact"/>
        <w:rPr>
          <w:sz w:val="20"/>
          <w:szCs w:val="20"/>
          <w:color w:val="auto"/>
        </w:rPr>
      </w:pPr>
    </w:p>
    <w:p>
      <w:pPr>
        <w:spacing w:after="0" w:line="32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-10-</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78" w:name="page79"/>
    <w:bookmarkEnd w:id="78"/>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3947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3">
                      <a:extLst>
                        <a:ext uri="{28A0092B-C50C-407E-A947-70E740481C1C}"/>
                      </a:extLst>
                    </a:blip>
                    <a:srcRect/>
                    <a:stretch>
                      <a:fillRect/>
                    </a:stretch>
                  </pic:blipFill>
                  <pic:spPr bwMode="auto">
                    <a:xfrm>
                      <a:off x="0" y="0"/>
                      <a:ext cx="7136130" cy="8394700"/>
                    </a:xfrm>
                    <a:prstGeom prst="rect">
                      <a:avLst/>
                    </a:prstGeom>
                    <a:noFill/>
                  </pic:spPr>
                </pic:pic>
              </a:graphicData>
            </a:graphic>
          </wp:anchor>
        </w:drawing>
      </w:r>
    </w:p>
    <w:p>
      <w:pPr>
        <w:jc w:val="both"/>
        <w:ind w:left="9"/>
        <w:spacing w:after="0" w:line="244" w:lineRule="auto"/>
        <w:rPr>
          <w:sz w:val="20"/>
          <w:szCs w:val="20"/>
          <w:color w:val="auto"/>
        </w:rPr>
      </w:pPr>
      <w:r>
        <w:rPr>
          <w:rFonts w:ascii="Times New Roman" w:cs="Times New Roman" w:eastAsia="Times New Roman" w:hAnsi="Times New Roman"/>
          <w:sz w:val="22"/>
          <w:szCs w:val="22"/>
          <w:color w:val="auto"/>
        </w:rPr>
        <w:t>violations, and (b) identifies any recommended changes in existing restrictions or procedures based upon OFS Adviser’s experience under the Code, then-prevailing industry practices, or developments in applicable laws or regulations.</w:t>
      </w:r>
    </w:p>
    <w:p>
      <w:pPr>
        <w:spacing w:after="0" w:line="65" w:lineRule="exact"/>
        <w:rPr>
          <w:sz w:val="20"/>
          <w:szCs w:val="20"/>
          <w:color w:val="auto"/>
        </w:rPr>
      </w:pPr>
    </w:p>
    <w:p>
      <w:pPr>
        <w:jc w:val="both"/>
        <w:ind w:left="9" w:firstLine="688"/>
        <w:spacing w:after="0" w:line="236" w:lineRule="auto"/>
        <w:rPr>
          <w:sz w:val="20"/>
          <w:szCs w:val="20"/>
          <w:color w:val="auto"/>
        </w:rPr>
      </w:pPr>
      <w:r>
        <w:rPr>
          <w:rFonts w:ascii="Times New Roman" w:cs="Times New Roman" w:eastAsia="Times New Roman" w:hAnsi="Times New Roman"/>
          <w:sz w:val="22"/>
          <w:szCs w:val="22"/>
          <w:color w:val="auto"/>
        </w:rPr>
        <w:t>The CCO of each OFS Fund prepares a written report to be considered by the relevant OFS Fund Directors no less than annually, that (a) describes any issues arising under the Compliance Policies since the last written report, including, but not limited to, information about material violations of the Compliance Policies and sanctions imposed in response to such violations, and (b) identifies any recommended changes in existing restrictions or procedures based upon each OFS Fund’s and/or OFS Adviser’s experience under the Compliance Policies, then-prevailing industry practices, or developments in applicable laws or regulations.</w:t>
      </w:r>
    </w:p>
    <w:p>
      <w:pPr>
        <w:spacing w:after="0" w:line="69" w:lineRule="exact"/>
        <w:rPr>
          <w:sz w:val="20"/>
          <w:szCs w:val="20"/>
          <w:color w:val="auto"/>
        </w:rPr>
      </w:pPr>
    </w:p>
    <w:p>
      <w:pPr>
        <w:ind w:left="689" w:hanging="689"/>
        <w:spacing w:after="0"/>
        <w:tabs>
          <w:tab w:leader="none" w:pos="689"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CCO AND COMPLIANCE OVERSIGHT</w:t>
      </w:r>
    </w:p>
    <w:p>
      <w:pPr>
        <w:spacing w:after="0" w:line="210" w:lineRule="exact"/>
        <w:rPr>
          <w:sz w:val="20"/>
          <w:szCs w:val="20"/>
          <w:color w:val="auto"/>
        </w:rPr>
      </w:pPr>
    </w:p>
    <w:p>
      <w:pPr>
        <w:jc w:val="both"/>
        <w:ind w:left="9" w:firstLine="688"/>
        <w:spacing w:after="0" w:line="234" w:lineRule="auto"/>
        <w:rPr>
          <w:sz w:val="20"/>
          <w:szCs w:val="20"/>
          <w:color w:val="auto"/>
        </w:rPr>
      </w:pPr>
      <w:r>
        <w:rPr>
          <w:rFonts w:ascii="Times New Roman" w:cs="Times New Roman" w:eastAsia="Times New Roman" w:hAnsi="Times New Roman"/>
          <w:sz w:val="22"/>
          <w:szCs w:val="22"/>
          <w:color w:val="auto"/>
        </w:rPr>
        <w:t>All requirements and prohibitions under this Code are likewise applicable to the CCO and all Compliance Department employees. For the purpose of addressing actual and perceived conflicts of interest and potential self-dealing, with the exception of potential transactions that are automatically precleared or denied through the Firm’s compliance portal (e.g., certain personal trades), any pre-approval request as submitted by a Compliance Department employee, excluding the CCO, must be reviewed and approved, as applicable, by another member of the Compliance Department. Pre-approval requests of the CCO, with the exception of potential transactions that are automatically precleared or denied through the Firm’s compliance portal, must be reviewed and approved as applicable, by CIM’s Chief Legal Counsel (“CLC”). Under no circumstances should the CCO or any Compliance Department employee review his/her own report or approve his/her own pre-approval request or their direct supervisor's preclearance request.</w:t>
      </w:r>
    </w:p>
    <w:p>
      <w:pPr>
        <w:spacing w:after="0" w:line="71" w:lineRule="exact"/>
        <w:rPr>
          <w:sz w:val="20"/>
          <w:szCs w:val="20"/>
          <w:color w:val="auto"/>
        </w:rPr>
      </w:pPr>
    </w:p>
    <w:p>
      <w:pPr>
        <w:jc w:val="both"/>
        <w:ind w:left="9" w:right="20"/>
        <w:spacing w:after="0" w:line="244" w:lineRule="auto"/>
        <w:rPr>
          <w:sz w:val="20"/>
          <w:szCs w:val="20"/>
          <w:color w:val="auto"/>
        </w:rPr>
      </w:pPr>
      <w:r>
        <w:rPr>
          <w:rFonts w:ascii="Times New Roman" w:cs="Times New Roman" w:eastAsia="Times New Roman" w:hAnsi="Times New Roman"/>
          <w:sz w:val="22"/>
          <w:szCs w:val="22"/>
          <w:color w:val="auto"/>
        </w:rPr>
        <w:t>Potential Code violations by the CCO must be reviewed by the CLC. Potential Code violations by a Compliance Department employee must be reviewed by the CCO. If it is determined that a violation occurred, the CCO or employee will be subject to the applicable sanction(s) under the Code.</w:t>
      </w:r>
    </w:p>
    <w:p>
      <w:pPr>
        <w:spacing w:after="0" w:line="61" w:lineRule="exact"/>
        <w:rPr>
          <w:sz w:val="20"/>
          <w:szCs w:val="20"/>
          <w:color w:val="auto"/>
        </w:rPr>
      </w:pPr>
    </w:p>
    <w:p>
      <w:pPr>
        <w:ind w:left="689" w:hanging="689"/>
        <w:spacing w:after="0"/>
        <w:tabs>
          <w:tab w:leader="none" w:pos="689"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sz w:val="20"/>
          <w:szCs w:val="20"/>
          <w:color w:val="auto"/>
        </w:rPr>
      </w:pPr>
    </w:p>
    <w:p>
      <w:pPr>
        <w:jc w:val="both"/>
        <w:ind w:left="9" w:firstLine="688"/>
        <w:spacing w:after="0" w:line="236" w:lineRule="auto"/>
        <w:rPr>
          <w:sz w:val="20"/>
          <w:szCs w:val="20"/>
          <w:color w:val="auto"/>
        </w:rPr>
      </w:pPr>
      <w:r>
        <w:rPr>
          <w:rFonts w:ascii="Times New Roman" w:cs="Times New Roman" w:eastAsia="Times New Roman" w:hAnsi="Times New Roman"/>
          <w:sz w:val="22"/>
          <w:szCs w:val="22"/>
          <w:color w:val="auto"/>
        </w:rPr>
        <w:t>Supervised Persons will be given access to and become acquainted with highly confidential information about the Firm such as its financial information, business plans and strategies, investment strategies and opportunities, affiliated companies and internal policies and practices, as well as information relating to past, current and prospective Advisory Clients and Portfolio Companies. Such information must not be disclosed or discussed with anyone other than the Firm’s employees under any circumstances, and only on a “need to know” basis, unless otherwise permitted by the Legal or Compliance Departments.</w:t>
      </w:r>
    </w:p>
    <w:p>
      <w:pPr>
        <w:spacing w:after="0" w:line="73" w:lineRule="exact"/>
        <w:rPr>
          <w:sz w:val="20"/>
          <w:szCs w:val="20"/>
          <w:color w:val="auto"/>
        </w:rPr>
      </w:pPr>
    </w:p>
    <w:p>
      <w:pPr>
        <w:jc w:val="both"/>
        <w:ind w:left="9" w:firstLine="688"/>
        <w:spacing w:after="0" w:line="239" w:lineRule="auto"/>
        <w:rPr>
          <w:sz w:val="20"/>
          <w:szCs w:val="20"/>
          <w:color w:val="auto"/>
        </w:rPr>
      </w:pPr>
      <w:r>
        <w:rPr>
          <w:rFonts w:ascii="Times New Roman" w:cs="Times New Roman" w:eastAsia="Times New Roman" w:hAnsi="Times New Roman"/>
          <w:sz w:val="22"/>
          <w:szCs w:val="22"/>
          <w:color w:val="auto"/>
        </w:rPr>
        <w:t>Although we do encourage employees to report any concerns, suspected violation(s) of our various codes of conduct, any activity that may adversely affect the Firm’s business or reputation, any ESG-related concerns or violations, or any other inappropriate conduct to their supervisor, Compliance, or Legal, there may be times where employees may not feel comfortable voicing these concerns or</w:t>
      </w:r>
    </w:p>
    <w:p>
      <w:pPr>
        <w:spacing w:after="0" w:line="200" w:lineRule="exact"/>
        <w:rPr>
          <w:sz w:val="20"/>
          <w:szCs w:val="20"/>
          <w:color w:val="auto"/>
        </w:rPr>
      </w:pPr>
    </w:p>
    <w:p>
      <w:pPr>
        <w:spacing w:after="0" w:line="33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-11-</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79" w:name="page80"/>
    <w:bookmarkEnd w:id="79"/>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2559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5">
                      <a:extLst>
                        <a:ext uri="{28A0092B-C50C-407E-A947-70E740481C1C}"/>
                      </a:extLst>
                    </a:blip>
                    <a:srcRect/>
                    <a:stretch>
                      <a:fillRect/>
                    </a:stretch>
                  </pic:blipFill>
                  <pic:spPr bwMode="auto">
                    <a:xfrm>
                      <a:off x="0" y="0"/>
                      <a:ext cx="7136130" cy="4125595"/>
                    </a:xfrm>
                    <a:prstGeom prst="rect">
                      <a:avLst/>
                    </a:prstGeom>
                    <a:noFill/>
                  </pic:spPr>
                </pic:pic>
              </a:graphicData>
            </a:graphic>
          </wp:anchor>
        </w:drawing>
      </w:r>
    </w:p>
    <w:p>
      <w:pPr>
        <w:jc w:val="both"/>
        <w:ind w:left="9"/>
        <w:spacing w:after="0" w:line="244" w:lineRule="auto"/>
        <w:rPr>
          <w:sz w:val="20"/>
          <w:szCs w:val="20"/>
          <w:color w:val="auto"/>
        </w:rPr>
      </w:pPr>
      <w:r>
        <w:rPr>
          <w:rFonts w:ascii="Times New Roman" w:cs="Times New Roman" w:eastAsia="Times New Roman" w:hAnsi="Times New Roman"/>
          <w:sz w:val="22"/>
          <w:szCs w:val="22"/>
          <w:color w:val="auto"/>
        </w:rPr>
        <w:t>problems to them. If employees desire or need to report a violation or misconduct, they can do so by reaching out to the ReportIt hotline. Please refer to the Whistleblower policy for additional information on providing confidential information.</w:t>
      </w:r>
    </w:p>
    <w:p>
      <w:pPr>
        <w:spacing w:after="0" w:line="61" w:lineRule="exact"/>
        <w:rPr>
          <w:sz w:val="20"/>
          <w:szCs w:val="20"/>
          <w:color w:val="auto"/>
        </w:rPr>
      </w:pPr>
    </w:p>
    <w:p>
      <w:pPr>
        <w:ind w:left="689" w:hanging="689"/>
        <w:spacing w:after="0"/>
        <w:tabs>
          <w:tab w:leader="none" w:pos="689"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CONFLICT WITH EMPLOYEE HANDBOOK</w:t>
      </w:r>
    </w:p>
    <w:p>
      <w:pPr>
        <w:spacing w:after="0" w:line="210" w:lineRule="exact"/>
        <w:rPr>
          <w:sz w:val="20"/>
          <w:szCs w:val="20"/>
          <w:color w:val="auto"/>
        </w:rPr>
      </w:pPr>
    </w:p>
    <w:p>
      <w:pPr>
        <w:jc w:val="both"/>
        <w:ind w:left="9" w:firstLine="688"/>
        <w:spacing w:after="0" w:line="238" w:lineRule="auto"/>
        <w:rPr>
          <w:sz w:val="20"/>
          <w:szCs w:val="20"/>
          <w:color w:val="auto"/>
        </w:rPr>
      </w:pPr>
      <w:r>
        <w:rPr>
          <w:rFonts w:ascii="Times New Roman" w:cs="Times New Roman" w:eastAsia="Times New Roman" w:hAnsi="Times New Roman"/>
          <w:sz w:val="22"/>
          <w:szCs w:val="22"/>
          <w:color w:val="auto"/>
        </w:rPr>
        <w:t>Where this Code addresses policies that are also addressed in other corporate policies or in the Employee Handbook of Orchard First Source Capital, Inc. or another Affiliate by which a Supervised Person is employed, the policies herein are intended to augment, and not to supersede or replace, the relevant corporate or Employee Handbook policies. In the event of any conflict that would prohibit a Supervised Person from complying with both sets of policies, the Supervised Person should address the conflict to a Compliance Officer.</w:t>
      </w:r>
    </w:p>
    <w:p>
      <w:pPr>
        <w:spacing w:after="0" w:line="200" w:lineRule="exact"/>
        <w:rPr>
          <w:sz w:val="20"/>
          <w:szCs w:val="20"/>
          <w:color w:val="auto"/>
        </w:rPr>
      </w:pPr>
    </w:p>
    <w:p>
      <w:pPr>
        <w:spacing w:after="0" w:line="3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-12-</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80" w:name="page81"/>
    <w:bookmarkEnd w:id="80"/>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6086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extLst>
                    </a:blip>
                    <a:srcRect/>
                    <a:stretch>
                      <a:fillRect/>
                    </a:stretch>
                  </pic:blipFill>
                  <pic:spPr bwMode="auto">
                    <a:xfrm>
                      <a:off x="0" y="0"/>
                      <a:ext cx="7136130" cy="8608695"/>
                    </a:xfrm>
                    <a:prstGeom prst="rect">
                      <a:avLst/>
                    </a:prstGeom>
                    <a:noFill/>
                  </pic:spPr>
                </pic:pic>
              </a:graphicData>
            </a:graphic>
          </wp:anchor>
        </w:drawing>
      </w:r>
    </w:p>
    <w:p>
      <w:pPr>
        <w:ind w:left="3239" w:hanging="679"/>
        <w:spacing w:after="0"/>
        <w:tabs>
          <w:tab w:leader="none" w:pos="3239" w:val="left"/>
        </w:tabs>
        <w:numPr>
          <w:ilvl w:val="1"/>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PERSONAL INVESTMENT POLICY</w:t>
      </w:r>
    </w:p>
    <w:p>
      <w:pPr>
        <w:spacing w:after="0" w:line="200" w:lineRule="exact"/>
        <w:rPr>
          <w:rFonts w:ascii="Times New Roman" w:cs="Times New Roman" w:eastAsia="Times New Roman" w:hAnsi="Times New Roman"/>
          <w:sz w:val="22"/>
          <w:szCs w:val="22"/>
          <w:b w:val="1"/>
          <w:bCs w:val="1"/>
          <w:color w:val="auto"/>
        </w:rPr>
      </w:pPr>
    </w:p>
    <w:p>
      <w:pPr>
        <w:spacing w:after="0" w:line="222" w:lineRule="exact"/>
        <w:rPr>
          <w:rFonts w:ascii="Times New Roman" w:cs="Times New Roman" w:eastAsia="Times New Roman" w:hAnsi="Times New Roman"/>
          <w:sz w:val="22"/>
          <w:szCs w:val="22"/>
          <w:b w:val="1"/>
          <w:bCs w:val="1"/>
          <w:color w:val="auto"/>
        </w:rPr>
      </w:pPr>
    </w:p>
    <w:p>
      <w:pPr>
        <w:ind w:left="799" w:hanging="689"/>
        <w:spacing w:after="0"/>
        <w:tabs>
          <w:tab w:leader="none" w:pos="799"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 AND DEFINITIONS</w:t>
      </w:r>
    </w:p>
    <w:p>
      <w:pPr>
        <w:spacing w:after="0" w:line="210" w:lineRule="exact"/>
        <w:rPr>
          <w:rFonts w:ascii="Times New Roman" w:cs="Times New Roman" w:eastAsia="Times New Roman" w:hAnsi="Times New Roman"/>
          <w:sz w:val="22"/>
          <w:szCs w:val="22"/>
          <w:b w:val="1"/>
          <w:bCs w:val="1"/>
          <w:color w:val="auto"/>
        </w:rPr>
      </w:pPr>
    </w:p>
    <w:p>
      <w:pPr>
        <w:ind w:left="799"/>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Advisers Act, specifically Rule 204A-1, requires “Access Persons” of a registered investment adviser,</w:t>
      </w:r>
    </w:p>
    <w:p>
      <w:pPr>
        <w:spacing w:after="0" w:line="14" w:lineRule="exact"/>
        <w:rPr>
          <w:sz w:val="20"/>
          <w:szCs w:val="20"/>
          <w:color w:val="auto"/>
        </w:rPr>
      </w:pPr>
    </w:p>
    <w:p>
      <w:pPr>
        <w:jc w:val="both"/>
        <w:ind w:left="119" w:right="100"/>
        <w:spacing w:after="0" w:line="235" w:lineRule="auto"/>
        <w:rPr>
          <w:sz w:val="20"/>
          <w:szCs w:val="20"/>
          <w:color w:val="auto"/>
        </w:rPr>
      </w:pPr>
      <w:r>
        <w:rPr>
          <w:rFonts w:ascii="Times New Roman" w:cs="Times New Roman" w:eastAsia="Times New Roman" w:hAnsi="Times New Roman"/>
          <w:sz w:val="22"/>
          <w:szCs w:val="22"/>
          <w:color w:val="auto"/>
        </w:rPr>
        <w:t>such as OFS Adviser, to provide periodic reports regarding transactions and holdings in "Reportable Securities" (as defined below) beneficially owned by Access Persons. Rule 17j-1 under the Company Act requires similar reports for “Access Persons” to a Fund, such as each of the OFS Funds.</w:t>
      </w:r>
    </w:p>
    <w:p>
      <w:pPr>
        <w:spacing w:after="0" w:line="70" w:lineRule="exact"/>
        <w:rPr>
          <w:sz w:val="20"/>
          <w:szCs w:val="20"/>
          <w:color w:val="auto"/>
        </w:rPr>
      </w:pPr>
    </w:p>
    <w:p>
      <w:pPr>
        <w:jc w:val="both"/>
        <w:ind w:left="119" w:right="100" w:firstLine="688"/>
        <w:spacing w:after="0" w:line="235" w:lineRule="auto"/>
        <w:rPr>
          <w:sz w:val="20"/>
          <w:szCs w:val="20"/>
          <w:color w:val="auto"/>
        </w:rPr>
      </w:pPr>
      <w:r>
        <w:rPr>
          <w:rFonts w:ascii="Times New Roman" w:cs="Times New Roman" w:eastAsia="Times New Roman" w:hAnsi="Times New Roman"/>
          <w:sz w:val="22"/>
          <w:szCs w:val="22"/>
          <w:color w:val="auto"/>
        </w:rPr>
        <w:t>The purpose of this Personal Investment Policy and related procedures is to advise Access Persons of their ethical and legal responsibilities with respect to Securities transactions that may involve (i) possible conflicts of interest with Advisory Clients, including the OFS Funds, and (ii) the possession and use of material, nonpublic information (“MNPI”). It is a violation of the Code for any Access Person of OFS Adviser or any OFS Fund to use their knowledge concerning a trade, pending trade, or contemplated trade or investment by an OFS Fund or any other Advisory Client to profit personally, directly or indirectly, as a result of such transaction, including by purchasing or selling such Securities.</w:t>
      </w:r>
    </w:p>
    <w:p>
      <w:pPr>
        <w:spacing w:after="0" w:line="75" w:lineRule="exact"/>
        <w:rPr>
          <w:sz w:val="20"/>
          <w:szCs w:val="20"/>
          <w:color w:val="auto"/>
        </w:rPr>
      </w:pPr>
    </w:p>
    <w:p>
      <w:pPr>
        <w:jc w:val="both"/>
        <w:ind w:left="119" w:right="100" w:firstLine="688"/>
        <w:spacing w:after="0" w:line="258" w:lineRule="auto"/>
        <w:rPr>
          <w:sz w:val="20"/>
          <w:szCs w:val="20"/>
          <w:color w:val="auto"/>
        </w:rPr>
      </w:pPr>
      <w:r>
        <w:rPr>
          <w:rFonts w:ascii="Times New Roman" w:cs="Times New Roman" w:eastAsia="Times New Roman" w:hAnsi="Times New Roman"/>
          <w:sz w:val="22"/>
          <w:szCs w:val="22"/>
          <w:color w:val="auto"/>
        </w:rPr>
        <w:t>The following definitions are utilized within this Personal Investments Policy and more broadly within the rest of the Code.</w:t>
      </w:r>
    </w:p>
    <w:p>
      <w:pPr>
        <w:spacing w:after="0" w:line="50" w:lineRule="exact"/>
        <w:rPr>
          <w:sz w:val="20"/>
          <w:szCs w:val="20"/>
          <w:color w:val="auto"/>
        </w:rPr>
      </w:pPr>
    </w:p>
    <w:p>
      <w:pPr>
        <w:jc w:val="both"/>
        <w:ind w:left="119" w:right="100" w:firstLine="688"/>
        <w:spacing w:after="0" w:line="244" w:lineRule="auto"/>
        <w:rPr>
          <w:sz w:val="20"/>
          <w:szCs w:val="20"/>
          <w:color w:val="auto"/>
        </w:rPr>
      </w:pPr>
      <w:r>
        <w:rPr>
          <w:rFonts w:ascii="Times New Roman" w:cs="Times New Roman" w:eastAsia="Times New Roman" w:hAnsi="Times New Roman"/>
          <w:sz w:val="22"/>
          <w:szCs w:val="22"/>
          <w:u w:val="single" w:color="auto"/>
          <w:color w:val="auto"/>
        </w:rPr>
        <w:t>“Access Person”</w:t>
      </w:r>
      <w:r>
        <w:rPr>
          <w:rFonts w:ascii="Times New Roman" w:cs="Times New Roman" w:eastAsia="Times New Roman" w:hAnsi="Times New Roman"/>
          <w:sz w:val="22"/>
          <w:szCs w:val="22"/>
          <w:color w:val="auto"/>
        </w:rPr>
        <w:t xml:space="preserve"> with respect to OFS Adviser means (a) any Supervised Person who (i) has access to nonpublic information regarding any Advisory Client’s purchase or sale of Securities, or nonpublic information regarding the portfolio holdings of any Advisory Client (including any OFS Fund); or (ii) is involved in making Securities recommendations to Advisory Clients (including any OFS Fund), or has access to such recommendations that are nonpublic; and (b) all directors, officers and partners of OFS Adviser.</w:t>
      </w:r>
      <w:r>
        <w:rPr>
          <w:rFonts w:ascii="Times New Roman" w:cs="Times New Roman" w:eastAsia="Times New Roman" w:hAnsi="Times New Roman"/>
          <w:sz w:val="28"/>
          <w:szCs w:val="28"/>
          <w:color w:val="auto"/>
          <w:vertAlign w:val="superscript"/>
        </w:rPr>
        <w:t>5</w:t>
      </w:r>
    </w:p>
    <w:p>
      <w:pPr>
        <w:spacing w:after="0" w:line="4" w:lineRule="exact"/>
        <w:rPr>
          <w:sz w:val="20"/>
          <w:szCs w:val="20"/>
          <w:color w:val="auto"/>
        </w:rPr>
      </w:pPr>
    </w:p>
    <w:p>
      <w:pPr>
        <w:jc w:val="both"/>
        <w:ind w:left="119" w:right="100" w:firstLine="688"/>
        <w:spacing w:after="0" w:line="233" w:lineRule="auto"/>
        <w:rPr>
          <w:sz w:val="20"/>
          <w:szCs w:val="20"/>
          <w:color w:val="auto"/>
        </w:rPr>
      </w:pPr>
      <w:r>
        <w:rPr>
          <w:rFonts w:ascii="Times New Roman" w:cs="Times New Roman" w:eastAsia="Times New Roman" w:hAnsi="Times New Roman"/>
          <w:sz w:val="22"/>
          <w:szCs w:val="22"/>
          <w:color w:val="auto"/>
        </w:rPr>
        <w:t>For purposes of the Code, all Supervised Persons are generally considered to be Access Persons of OFS Adviser, and all Access Persons of OFS Adviser are considered to be Access Persons of each OFS Fund. OFS Fund Disinterested Directors are also considered Access Persons of each OFS Fund but are generally exempt from Recordkeeping, Reporting and Statement of Restrictions requirements of Access Persons included in this Code, except as described in Section II.D below.</w:t>
      </w:r>
    </w:p>
    <w:p>
      <w:pPr>
        <w:spacing w:after="0" w:line="71" w:lineRule="exact"/>
        <w:rPr>
          <w:sz w:val="20"/>
          <w:szCs w:val="20"/>
          <w:color w:val="auto"/>
        </w:rPr>
      </w:pPr>
    </w:p>
    <w:p>
      <w:pPr>
        <w:jc w:val="both"/>
        <w:ind w:left="119" w:right="100" w:firstLine="688"/>
        <w:spacing w:after="0" w:line="238" w:lineRule="auto"/>
        <w:rPr>
          <w:sz w:val="20"/>
          <w:szCs w:val="20"/>
          <w:color w:val="auto"/>
        </w:rPr>
      </w:pPr>
      <w:r>
        <w:rPr>
          <w:rFonts w:ascii="Times New Roman" w:cs="Times New Roman" w:eastAsia="Times New Roman" w:hAnsi="Times New Roman"/>
          <w:sz w:val="22"/>
          <w:szCs w:val="22"/>
          <w:u w:val="single" w:color="auto"/>
          <w:color w:val="auto"/>
        </w:rPr>
        <w:t>“Affiliate Account”</w:t>
      </w:r>
      <w:r>
        <w:rPr>
          <w:rFonts w:ascii="Times New Roman" w:cs="Times New Roman" w:eastAsia="Times New Roman" w:hAnsi="Times New Roman"/>
          <w:sz w:val="22"/>
          <w:szCs w:val="22"/>
          <w:color w:val="auto"/>
        </w:rPr>
        <w:t xml:space="preserve"> means: (i) the personal Securities account of an Access Person or the account of any Related Person in which Reportable Securities may be held or transacted; (ii) any such Securities account for which any Access Person serves as custodian, trustee, or otherwise acts in a fiduciary capacity or with respect to which an Access Person either has authority to make investment decisions or from time to time makes investment recommendations, except with respect to Advisory Clients; (iii) any such</w:t>
      </w:r>
    </w:p>
    <w:p>
      <w:pPr>
        <w:spacing w:after="0" w:line="276" w:lineRule="exact"/>
        <w:rPr>
          <w:sz w:val="20"/>
          <w:szCs w:val="20"/>
          <w:color w:val="auto"/>
        </w:rPr>
      </w:pPr>
    </w:p>
    <w:p>
      <w:pPr>
        <w:ind w:left="-1" w:firstLine="1"/>
        <w:spacing w:after="0" w:line="212" w:lineRule="auto"/>
        <w:tabs>
          <w:tab w:leader="none" w:pos="105"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Chief Compliance Officer or his/her designee may consider any director, officer, principal, member or employee, including, but not limited to, intern consultants and temporary employees, of an Affiliate of OFS Adviser to be a Supervised Person, and Access Person if appropriate, of OFS Adviser if the Chief Compliance Officer determines that such person performs services for OFS Adviser, through any staffing or similar agreement, such that the person would constitute a Supervised Person or Access Person if such person was a director, officer, member, principal or employee, including an intern or temporary employee, of OFS Adviser. The Compliance Department will maintain a list of all such persons and whether each person is (1) a Supervised Person and (2) an Access Person and will notify each person of relevant requirements. The majority of OFS Adviser’s personnel are employees of Orchard First Source Capital, Inc., an Affiliate of OFS Adviser.</w:t>
      </w:r>
    </w:p>
    <w:p>
      <w:pPr>
        <w:spacing w:after="0" w:line="200" w:lineRule="exact"/>
        <w:rPr>
          <w:sz w:val="20"/>
          <w:szCs w:val="20"/>
          <w:color w:val="auto"/>
        </w:rPr>
      </w:pPr>
    </w:p>
    <w:p>
      <w:pPr>
        <w:spacing w:after="0" w:line="217"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22"/>
          <w:szCs w:val="22"/>
          <w:color w:val="auto"/>
        </w:rPr>
        <w:t>Page -13-</w:t>
      </w:r>
    </w:p>
    <w:p>
      <w:pPr>
        <w:spacing w:after="0" w:line="44"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812800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19"/>
          </w:cols>
          <w:pgMar w:left="781" w:top="1440" w:right="799" w:bottom="1440" w:gutter="0" w:footer="0" w:header="0"/>
        </w:sectPr>
      </w:pPr>
    </w:p>
    <w:bookmarkStart w:id="81" w:name="page82"/>
    <w:bookmarkEnd w:id="81"/>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3261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9">
                      <a:extLst>
                        <a:ext uri="{28A0092B-C50C-407E-A947-70E740481C1C}"/>
                      </a:extLst>
                    </a:blip>
                    <a:srcRect/>
                    <a:stretch>
                      <a:fillRect/>
                    </a:stretch>
                  </pic:blipFill>
                  <pic:spPr bwMode="auto">
                    <a:xfrm>
                      <a:off x="0" y="0"/>
                      <a:ext cx="7136130" cy="8326120"/>
                    </a:xfrm>
                    <a:prstGeom prst="rect">
                      <a:avLst/>
                    </a:prstGeom>
                    <a:noFill/>
                  </pic:spPr>
                </pic:pic>
              </a:graphicData>
            </a:graphic>
          </wp:anchor>
        </w:drawing>
      </w:r>
    </w:p>
    <w:p>
      <w:pPr>
        <w:jc w:val="both"/>
        <w:spacing w:after="0" w:line="239" w:lineRule="auto"/>
        <w:rPr>
          <w:sz w:val="20"/>
          <w:szCs w:val="20"/>
          <w:color w:val="auto"/>
        </w:rPr>
      </w:pPr>
      <w:r>
        <w:rPr>
          <w:rFonts w:ascii="Times New Roman" w:cs="Times New Roman" w:eastAsia="Times New Roman" w:hAnsi="Times New Roman"/>
          <w:sz w:val="22"/>
          <w:szCs w:val="22"/>
          <w:color w:val="auto"/>
        </w:rPr>
        <w:t>Securities account of any person, partnership, joint venture, trust or other entity in which an Access Person or his or her Related Person has Beneficial Ownership or other Beneficial Interest; and (iv) and accounts containing Reportable Funds of which an Access Person or his or her Related Person has Beneficial Ownership or Beneficial Interest.</w:t>
      </w:r>
    </w:p>
    <w:p>
      <w:pPr>
        <w:spacing w:after="0" w:line="72" w:lineRule="exact"/>
        <w:rPr>
          <w:sz w:val="20"/>
          <w:szCs w:val="20"/>
          <w:color w:val="auto"/>
        </w:rPr>
      </w:pPr>
    </w:p>
    <w:p>
      <w:pPr>
        <w:jc w:val="both"/>
        <w:ind w:firstLine="688"/>
        <w:spacing w:after="0" w:line="244" w:lineRule="auto"/>
        <w:rPr>
          <w:sz w:val="20"/>
          <w:szCs w:val="20"/>
          <w:color w:val="auto"/>
        </w:rPr>
      </w:pPr>
      <w:r>
        <w:rPr>
          <w:rFonts w:ascii="Times New Roman" w:cs="Times New Roman" w:eastAsia="Times New Roman" w:hAnsi="Times New Roman"/>
          <w:sz w:val="22"/>
          <w:szCs w:val="22"/>
          <w:u w:val="single" w:color="auto"/>
          <w:color w:val="auto"/>
        </w:rPr>
        <w:t>“Beneficial Interest”</w:t>
      </w:r>
      <w:r>
        <w:rPr>
          <w:rFonts w:ascii="Times New Roman" w:cs="Times New Roman" w:eastAsia="Times New Roman" w:hAnsi="Times New Roman"/>
          <w:sz w:val="22"/>
          <w:szCs w:val="22"/>
          <w:color w:val="auto"/>
        </w:rPr>
        <w:t xml:space="preserve"> means an interest whereby a person can, directly or indirectly, control the disposition of a Security or a Reportable Fund or derive a monetary, pecuniary or other right or benefit from the purchase, sale or ownership of a Security or a Reportable Fund (e.g., interest payments or dividends).</w:t>
      </w:r>
    </w:p>
    <w:p>
      <w:pPr>
        <w:spacing w:after="0" w:line="65" w:lineRule="exact"/>
        <w:rPr>
          <w:sz w:val="20"/>
          <w:szCs w:val="20"/>
          <w:color w:val="auto"/>
        </w:rPr>
      </w:pPr>
    </w:p>
    <w:p>
      <w:pPr>
        <w:jc w:val="both"/>
        <w:ind w:firstLine="688"/>
        <w:spacing w:after="0" w:line="235" w:lineRule="auto"/>
        <w:rPr>
          <w:sz w:val="20"/>
          <w:szCs w:val="20"/>
          <w:color w:val="auto"/>
        </w:rPr>
      </w:pP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xml:space="preserve"> of a Security, Reportable Fund or account means, consistent with Section 16 of the Securities Exchange Act of 1934, as amended (the “Exchange Act”) and Rule 16a- 1(a)(2) thereunder, ownership of Securities, Securities accounts, or Reportable Funds by or for the benefit of a person or his or her Related Person. Beneficial Ownership specifically includes any Security or account in which the Access Person or any Related Persons holds a direct or indirect Beneficial Interest or retains voting power (or the ability to direct such a vote) or investment power (which includes the power to acquire or dispose of, or the ability to direct the acquisition or disposition of, a Security, Securities accounts or Reportable Funds), directly or indirectly (e.g., by exercising a power of attorney or otherwise).</w:t>
      </w:r>
    </w:p>
    <w:p>
      <w:pPr>
        <w:spacing w:after="0" w:line="70" w:lineRule="exact"/>
        <w:rPr>
          <w:sz w:val="20"/>
          <w:szCs w:val="20"/>
          <w:color w:val="auto"/>
        </w:rPr>
      </w:pPr>
    </w:p>
    <w:p>
      <w:pPr>
        <w:ind w:right="320" w:firstLine="68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Diversified ETF</w:t>
      </w:r>
      <w:r>
        <w:rPr>
          <w:rFonts w:ascii="Times New Roman" w:cs="Times New Roman" w:eastAsia="Times New Roman" w:hAnsi="Times New Roman"/>
          <w:sz w:val="22"/>
          <w:szCs w:val="22"/>
          <w:color w:val="auto"/>
        </w:rPr>
        <w:t>” for purposes of this Code, means an exchange-traded fund (“ETF”) in which no single underlying issuer represents 20% or more of the ETF’s total assets.</w:t>
      </w:r>
    </w:p>
    <w:p>
      <w:pPr>
        <w:spacing w:after="0" w:line="50" w:lineRule="exact"/>
        <w:rPr>
          <w:sz w:val="20"/>
          <w:szCs w:val="20"/>
          <w:color w:val="auto"/>
        </w:rPr>
      </w:pPr>
    </w:p>
    <w:p>
      <w:pPr>
        <w:jc w:val="both"/>
        <w:ind w:firstLine="688"/>
        <w:spacing w:after="0" w:line="235" w:lineRule="auto"/>
        <w:rPr>
          <w:sz w:val="20"/>
          <w:szCs w:val="20"/>
          <w:color w:val="auto"/>
        </w:rPr>
      </w:pPr>
      <w:r>
        <w:rPr>
          <w:rFonts w:ascii="Times New Roman" w:cs="Times New Roman" w:eastAsia="Times New Roman" w:hAnsi="Times New Roman"/>
          <w:sz w:val="22"/>
          <w:szCs w:val="22"/>
          <w:u w:val="single" w:color="auto"/>
          <w:color w:val="auto"/>
        </w:rPr>
        <w:t>“Exempt Security”</w:t>
      </w:r>
      <w:r>
        <w:rPr>
          <w:rFonts w:ascii="Times New Roman" w:cs="Times New Roman" w:eastAsia="Times New Roman" w:hAnsi="Times New Roman"/>
          <w:sz w:val="22"/>
          <w:szCs w:val="22"/>
          <w:color w:val="auto"/>
        </w:rPr>
        <w:t xml:space="preserve"> is any Security that falls into any of the following categories: (i) shares issued by open-end mutual funds (excluding certain exchange traded funds (“ETFs”), except Reportable Funds, if any; (ii) shares issued by money market funds; (iii) College Direct Savings Plans (e.g., 529 College Savings Program, etc.); (iv) shares issued by unit investment trusts that are invested exclusively in one or more open-end mutual funds (so long as such funds are not Affiliated Securities); (v) bankers’ acceptances, bank certificates of deposit or time deposits, commercial paper and other short term high quality debt instruments with one year or less to maturity; and (vi) treasury obligations (e.g., T-bills, notes and bonds) or other Securities issued/guaranteed by the U.S. Government, its agencies, or instrumentalities (e.g., FNMA, GNMA).</w:t>
      </w:r>
    </w:p>
    <w:p>
      <w:pPr>
        <w:spacing w:after="0" w:line="70" w:lineRule="exact"/>
        <w:rPr>
          <w:sz w:val="20"/>
          <w:szCs w:val="20"/>
          <w:color w:val="auto"/>
        </w:rPr>
      </w:pPr>
    </w:p>
    <w:p>
      <w:pPr>
        <w:ind w:right="100" w:firstLine="688"/>
        <w:spacing w:after="0" w:line="258" w:lineRule="auto"/>
        <w:rPr>
          <w:sz w:val="20"/>
          <w:szCs w:val="20"/>
          <w:color w:val="auto"/>
        </w:rPr>
      </w:pPr>
      <w:r>
        <w:rPr>
          <w:rFonts w:ascii="Times New Roman" w:cs="Times New Roman" w:eastAsia="Times New Roman" w:hAnsi="Times New Roman"/>
          <w:sz w:val="22"/>
          <w:szCs w:val="22"/>
          <w:u w:val="single" w:color="auto"/>
          <w:color w:val="auto"/>
        </w:rPr>
        <w:t>“Managed Accounts</w:t>
      </w:r>
      <w:r>
        <w:rPr>
          <w:rFonts w:ascii="Times New Roman" w:cs="Times New Roman" w:eastAsia="Times New Roman" w:hAnsi="Times New Roman"/>
          <w:sz w:val="22"/>
          <w:szCs w:val="22"/>
          <w:color w:val="auto"/>
        </w:rPr>
        <w:t>” means non-Affiliated Accounts that are controlled or invested on a fully discretionary basis by a third party, such as an investment adviser or broker.</w:t>
      </w:r>
    </w:p>
    <w:p>
      <w:pPr>
        <w:spacing w:after="0" w:line="46" w:lineRule="exact"/>
        <w:rPr>
          <w:sz w:val="20"/>
          <w:szCs w:val="20"/>
          <w:color w:val="auto"/>
        </w:rPr>
      </w:pPr>
    </w:p>
    <w:p>
      <w:pPr>
        <w:ind w:right="380" w:firstLine="688"/>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u w:val="single" w:color="auto"/>
          <w:color w:val="auto"/>
        </w:rPr>
        <w:t>Non-Managed Account</w:t>
      </w:r>
      <w:r>
        <w:rPr>
          <w:rFonts w:ascii="Times New Roman" w:cs="Times New Roman" w:eastAsia="Times New Roman" w:hAnsi="Times New Roman"/>
          <w:sz w:val="22"/>
          <w:szCs w:val="22"/>
          <w:color w:val="auto"/>
        </w:rPr>
        <w:t>” means any Affiliated Accounts controlled or invested by the Access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Related Persons in which Reportable Securities may be held.</w:t>
      </w:r>
    </w:p>
    <w:p>
      <w:pPr>
        <w:spacing w:after="0" w:line="46" w:lineRule="exact"/>
        <w:rPr>
          <w:sz w:val="20"/>
          <w:szCs w:val="20"/>
          <w:color w:val="auto"/>
        </w:rPr>
      </w:pPr>
    </w:p>
    <w:p>
      <w:pPr>
        <w:jc w:val="both"/>
        <w:ind w:firstLine="756"/>
        <w:spacing w:after="0" w:line="239" w:lineRule="auto"/>
        <w:rPr>
          <w:sz w:val="20"/>
          <w:szCs w:val="20"/>
          <w:color w:val="auto"/>
        </w:rPr>
      </w:pPr>
      <w:r>
        <w:rPr>
          <w:rFonts w:ascii="Times New Roman" w:cs="Times New Roman" w:eastAsia="Times New Roman" w:hAnsi="Times New Roman"/>
          <w:sz w:val="22"/>
          <w:szCs w:val="22"/>
          <w:u w:val="single" w:color="auto"/>
          <w:color w:val="auto"/>
        </w:rPr>
        <w:t>“Related Person”</w:t>
      </w:r>
      <w:r>
        <w:rPr>
          <w:rFonts w:ascii="Times New Roman" w:cs="Times New Roman" w:eastAsia="Times New Roman" w:hAnsi="Times New Roman"/>
          <w:sz w:val="22"/>
          <w:szCs w:val="22"/>
          <w:color w:val="auto"/>
        </w:rPr>
        <w:t xml:space="preserve"> means the spouse, domestic partner, child or stepchild, parent or stepparent, grandchild, grandparent, sibling, mother-in-law, father-in-law, son-in-law, daughter-in-law, brother-in- law, sister-in-law (including adoptive relationships) of an Access Person, who either resides with, or is financially dependent upon, the Access Person, and whose investments are controlled by the Access Person.</w:t>
      </w:r>
    </w:p>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u w:val="single" w:color="auto"/>
          <w:color w:val="auto"/>
        </w:rPr>
        <w:t>“Reportable Fund”</w:t>
      </w:r>
      <w:r>
        <w:rPr>
          <w:rFonts w:ascii="Times New Roman" w:cs="Times New Roman" w:eastAsia="Times New Roman" w:hAnsi="Times New Roman"/>
          <w:sz w:val="22"/>
          <w:szCs w:val="22"/>
          <w:color w:val="auto"/>
        </w:rPr>
        <w:t xml:space="preserve"> means any Fund for which OFS Advisor or any Affiliate acts as investment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-14-</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40" w:right="899" w:bottom="1440" w:gutter="0" w:footer="0" w:header="0"/>
        </w:sectPr>
      </w:pPr>
    </w:p>
    <w:bookmarkStart w:id="82" w:name="page83"/>
    <w:bookmarkEnd w:id="8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5203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1">
                      <a:extLst>
                        <a:ext uri="{28A0092B-C50C-407E-A947-70E740481C1C}"/>
                      </a:extLst>
                    </a:blip>
                    <a:srcRect/>
                    <a:stretch>
                      <a:fillRect/>
                    </a:stretch>
                  </pic:blipFill>
                  <pic:spPr bwMode="auto">
                    <a:xfrm>
                      <a:off x="0" y="0"/>
                      <a:ext cx="7136130" cy="7520305"/>
                    </a:xfrm>
                    <a:prstGeom prst="rect">
                      <a:avLst/>
                    </a:prstGeom>
                    <a:noFill/>
                  </pic:spPr>
                </pic:pic>
              </a:graphicData>
            </a:graphic>
          </wp:anchor>
        </w:drawing>
      </w:r>
    </w:p>
    <w:p>
      <w:pPr>
        <w:ind w:left="119"/>
        <w:spacing w:after="0"/>
        <w:rPr>
          <w:sz w:val="20"/>
          <w:szCs w:val="20"/>
          <w:color w:val="auto"/>
        </w:rPr>
      </w:pPr>
      <w:r>
        <w:rPr>
          <w:rFonts w:ascii="Times New Roman" w:cs="Times New Roman" w:eastAsia="Times New Roman" w:hAnsi="Times New Roman"/>
          <w:sz w:val="22"/>
          <w:szCs w:val="22"/>
          <w:color w:val="auto"/>
        </w:rPr>
        <w:t>adviser, sub-adviser, or underwriter.</w:t>
      </w:r>
    </w:p>
    <w:p>
      <w:pPr>
        <w:spacing w:after="0" w:line="98" w:lineRule="exact"/>
        <w:rPr>
          <w:sz w:val="20"/>
          <w:szCs w:val="20"/>
          <w:color w:val="auto"/>
        </w:rPr>
      </w:pPr>
    </w:p>
    <w:p>
      <w:pPr>
        <w:ind w:left="119" w:right="260" w:firstLine="688"/>
        <w:spacing w:after="0" w:line="258" w:lineRule="auto"/>
        <w:rPr>
          <w:sz w:val="20"/>
          <w:szCs w:val="20"/>
          <w:color w:val="auto"/>
        </w:rPr>
      </w:pPr>
      <w:r>
        <w:rPr>
          <w:rFonts w:ascii="Times New Roman" w:cs="Times New Roman" w:eastAsia="Times New Roman" w:hAnsi="Times New Roman"/>
          <w:sz w:val="22"/>
          <w:szCs w:val="22"/>
          <w:u w:val="single" w:color="auto"/>
          <w:color w:val="auto"/>
        </w:rPr>
        <w:t>“Reportable Security”</w:t>
      </w:r>
      <w:r>
        <w:rPr>
          <w:rFonts w:ascii="Times New Roman" w:cs="Times New Roman" w:eastAsia="Times New Roman" w:hAnsi="Times New Roman"/>
          <w:sz w:val="22"/>
          <w:szCs w:val="22"/>
          <w:color w:val="auto"/>
        </w:rPr>
        <w:t xml:space="preserve"> means every Security and Reportable Fund in which an Access Person or a Related Person has a Beneficial Ownership or other Beneficial Interest, except for an Exempt Security.</w:t>
      </w:r>
    </w:p>
    <w:p>
      <w:pPr>
        <w:spacing w:after="0" w:line="50" w:lineRule="exact"/>
        <w:rPr>
          <w:sz w:val="20"/>
          <w:szCs w:val="20"/>
          <w:color w:val="auto"/>
        </w:rPr>
      </w:pPr>
    </w:p>
    <w:p>
      <w:pPr>
        <w:jc w:val="both"/>
        <w:ind w:left="119" w:firstLine="688"/>
        <w:spacing w:after="0" w:line="229" w:lineRule="auto"/>
        <w:rPr>
          <w:sz w:val="20"/>
          <w:szCs w:val="20"/>
          <w:color w:val="auto"/>
        </w:rPr>
      </w:pP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xml:space="preserve"> or “Securities” means any note, stock, treasury stock, bond, debenture, Blockchain ETFs, evidence of indebtedness</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22"/>
          <w:szCs w:val="22"/>
          <w:color w:val="auto"/>
        </w:rPr>
        <w:t>, certificate of interest or participation in any profit-sharing agreement, collateral-trust certificate, reorganization certificate or subscription, transferable share, investment contract, voting trust certificate, fractional undivided interest in oil, gas or other mineral rights, any put, call, straddle, option or privilege on any security or on any group or index of securities (including any interest therein or based on the value thereof), or a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70" w:lineRule="exact"/>
        <w:rPr>
          <w:sz w:val="20"/>
          <w:szCs w:val="20"/>
          <w:color w:val="auto"/>
        </w:rPr>
      </w:pPr>
    </w:p>
    <w:p>
      <w:pPr>
        <w:ind w:left="799"/>
        <w:spacing w:after="0"/>
        <w:rPr>
          <w:sz w:val="20"/>
          <w:szCs w:val="20"/>
          <w:color w:val="auto"/>
        </w:rPr>
      </w:pPr>
      <w:r>
        <w:rPr>
          <w:rFonts w:ascii="Times New Roman" w:cs="Times New Roman" w:eastAsia="Times New Roman" w:hAnsi="Times New Roman"/>
          <w:sz w:val="22"/>
          <w:szCs w:val="22"/>
          <w:color w:val="auto"/>
        </w:rPr>
        <w:t>Note that Security has a different definition for purposes of the Inside Information Policy of the Code.</w:t>
      </w:r>
    </w:p>
    <w:p>
      <w:pPr>
        <w:spacing w:after="0" w:line="94" w:lineRule="exact"/>
        <w:rPr>
          <w:sz w:val="20"/>
          <w:szCs w:val="20"/>
          <w:color w:val="auto"/>
        </w:rPr>
      </w:pPr>
    </w:p>
    <w:p>
      <w:pPr>
        <w:ind w:left="799" w:hanging="689"/>
        <w:spacing w:after="0"/>
        <w:tabs>
          <w:tab w:leader="none" w:pos="799"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PRECLEARANCE AND REPORTING REQUIREMENTS</w:t>
      </w:r>
    </w:p>
    <w:p>
      <w:pPr>
        <w:spacing w:after="0" w:line="210" w:lineRule="exact"/>
        <w:rPr>
          <w:sz w:val="20"/>
          <w:szCs w:val="20"/>
          <w:color w:val="auto"/>
        </w:rPr>
      </w:pPr>
    </w:p>
    <w:p>
      <w:pPr>
        <w:jc w:val="both"/>
        <w:ind w:left="119" w:firstLine="688"/>
        <w:spacing w:after="0" w:line="244" w:lineRule="auto"/>
        <w:rPr>
          <w:sz w:val="20"/>
          <w:szCs w:val="20"/>
          <w:color w:val="auto"/>
        </w:rPr>
      </w:pPr>
      <w:r>
        <w:rPr>
          <w:rFonts w:ascii="Times New Roman" w:cs="Times New Roman" w:eastAsia="Times New Roman" w:hAnsi="Times New Roman"/>
          <w:sz w:val="22"/>
          <w:szCs w:val="22"/>
          <w:color w:val="auto"/>
        </w:rPr>
        <w:t>Under the Advisers Act and the Company Act, OFS Adviser and each OFS Fund are required to keep records of transactions in Reportable Securities in which Access Persons have Beneficial Ownership or a direct or indirect Beneficial Interest.</w:t>
      </w:r>
    </w:p>
    <w:p>
      <w:pPr>
        <w:spacing w:after="0" w:line="65" w:lineRule="exact"/>
        <w:rPr>
          <w:sz w:val="20"/>
          <w:szCs w:val="20"/>
          <w:color w:val="auto"/>
        </w:rPr>
      </w:pPr>
    </w:p>
    <w:p>
      <w:pPr>
        <w:jc w:val="both"/>
        <w:ind w:left="119" w:firstLine="688"/>
        <w:spacing w:after="0" w:line="234" w:lineRule="auto"/>
        <w:rPr>
          <w:sz w:val="20"/>
          <w:szCs w:val="20"/>
          <w:color w:val="auto"/>
        </w:rPr>
      </w:pPr>
      <w:r>
        <w:rPr>
          <w:rFonts w:ascii="Times New Roman" w:cs="Times New Roman" w:eastAsia="Times New Roman" w:hAnsi="Times New Roman"/>
          <w:sz w:val="22"/>
          <w:szCs w:val="22"/>
          <w:color w:val="auto"/>
        </w:rPr>
        <w:t>In most cases, determining whether an Access Person or his or her Related Person has Beneficial Ownership of, or a Beneficial Interest in the Reportable Securities held in an account (which would make such account an Affiliated Account for purposes hereof) is a straight-forward process. It is, however, important to note that, in some cases, an owner of an equity interest in an entity may be considered to have Beneficial Ownership of the assets of that entity. In general, equity holders are not deemed to have Beneficial Ownership of Securities held by an entity that is not “controlled” by the equity holders or in which the equity holders do not have or share investment control over the entity’s portfolio. Because the determination of whether an equity holder controls an entity or its investment decisions can be complicated, Access Persons are encouraged to seek guidance from a Compliance Officer. To the extent such guidance is not sought, any failure by an Access Person to properly identify all Affiliated Accounts will be treated as a violation of the Code.</w:t>
      </w:r>
    </w:p>
    <w:p>
      <w:pPr>
        <w:spacing w:after="0" w:line="279" w:lineRule="exact"/>
        <w:rPr>
          <w:sz w:val="20"/>
          <w:szCs w:val="20"/>
          <w:color w:val="auto"/>
        </w:rPr>
      </w:pPr>
    </w:p>
    <w:p>
      <w:pPr>
        <w:ind w:left="-1" w:right="1780" w:firstLine="1"/>
        <w:spacing w:after="0" w:line="199" w:lineRule="auto"/>
        <w:tabs>
          <w:tab w:leader="none" w:pos="109" w:val="left"/>
        </w:tabs>
        <w:numPr>
          <w:ilvl w:val="0"/>
          <w:numId w:val="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Note that, for most purposes, evidences of indebtedness are treated as “Securities” for securities law purposes; insider trading prohibitions are an exception to this general rule.</w:t>
      </w:r>
    </w:p>
    <w:p>
      <w:pPr>
        <w:spacing w:after="0" w:line="200" w:lineRule="exact"/>
        <w:rPr>
          <w:sz w:val="20"/>
          <w:szCs w:val="20"/>
          <w:color w:val="auto"/>
        </w:rPr>
      </w:pPr>
    </w:p>
    <w:p>
      <w:pPr>
        <w:spacing w:after="0" w:line="216"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2"/>
          <w:szCs w:val="22"/>
          <w:color w:val="auto"/>
        </w:rPr>
        <w:t>Page -15-</w:t>
      </w:r>
    </w:p>
    <w:p>
      <w:pPr>
        <w:spacing w:after="0" w:line="44"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812800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9"/>
          </w:cols>
          <w:pgMar w:left="781" w:top="1440" w:right="899" w:bottom="1440" w:gutter="0" w:footer="0" w:header="0"/>
        </w:sectPr>
      </w:pPr>
    </w:p>
    <w:bookmarkStart w:id="83" w:name="page84"/>
    <w:bookmarkEnd w:id="83"/>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9832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3">
                      <a:extLst>
                        <a:ext uri="{28A0092B-C50C-407E-A947-70E740481C1C}"/>
                      </a:extLst>
                    </a:blip>
                    <a:srcRect/>
                    <a:stretch>
                      <a:fillRect/>
                    </a:stretch>
                  </pic:blipFill>
                  <pic:spPr bwMode="auto">
                    <a:xfrm>
                      <a:off x="0" y="0"/>
                      <a:ext cx="7136130" cy="7983220"/>
                    </a:xfrm>
                    <a:prstGeom prst="rect">
                      <a:avLst/>
                    </a:prstGeom>
                    <a:noFill/>
                  </pic:spPr>
                </pic:pic>
              </a:graphicData>
            </a:graphic>
          </wp:anchor>
        </w:drawing>
      </w:r>
    </w:p>
    <w:p>
      <w:pPr>
        <w:ind w:left="569"/>
        <w:spacing w:after="0"/>
        <w:rPr>
          <w:sz w:val="20"/>
          <w:szCs w:val="20"/>
          <w:color w:val="auto"/>
        </w:rPr>
      </w:pPr>
      <w:r>
        <w:rPr>
          <w:rFonts w:ascii="Times New Roman" w:cs="Times New Roman" w:eastAsia="Times New Roman" w:hAnsi="Times New Roman"/>
          <w:sz w:val="22"/>
          <w:szCs w:val="22"/>
          <w:b w:val="1"/>
          <w:bCs w:val="1"/>
          <w:color w:val="auto"/>
        </w:rPr>
        <w:t>1. Preclearance of Reportable Securities</w:t>
      </w:r>
    </w:p>
    <w:p>
      <w:pPr>
        <w:spacing w:after="0" w:line="156" w:lineRule="exact"/>
        <w:rPr>
          <w:sz w:val="20"/>
          <w:szCs w:val="20"/>
          <w:color w:val="auto"/>
        </w:rPr>
      </w:pPr>
    </w:p>
    <w:p>
      <w:pPr>
        <w:ind w:left="689"/>
        <w:spacing w:after="0"/>
        <w:rPr>
          <w:sz w:val="20"/>
          <w:szCs w:val="20"/>
          <w:color w:val="auto"/>
        </w:rPr>
      </w:pPr>
      <w:r>
        <w:rPr>
          <w:rFonts w:ascii="Times New Roman" w:cs="Times New Roman" w:eastAsia="Times New Roman" w:hAnsi="Times New Roman"/>
          <w:sz w:val="22"/>
          <w:szCs w:val="22"/>
          <w:color w:val="auto"/>
        </w:rPr>
        <w:t>Access Persons and their Related Persons must submit preclearance requests for all transactions in</w:t>
      </w:r>
    </w:p>
    <w:p>
      <w:pPr>
        <w:spacing w:after="0" w:line="1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Reportable Securities, subject to certain exceptions explained below, in Non-Managed Accounts:</w:t>
      </w:r>
    </w:p>
    <w:p>
      <w:pPr>
        <w:spacing w:after="0" w:line="74" w:lineRule="exact"/>
        <w:rPr>
          <w:sz w:val="20"/>
          <w:szCs w:val="20"/>
          <w:color w:val="auto"/>
        </w:rPr>
      </w:pPr>
    </w:p>
    <w:p>
      <w:pPr>
        <w:ind w:left="689"/>
        <w:spacing w:after="0"/>
        <w:rPr>
          <w:sz w:val="20"/>
          <w:szCs w:val="20"/>
          <w:color w:val="auto"/>
        </w:rPr>
      </w:pPr>
      <w:r>
        <w:rPr>
          <w:rFonts w:ascii="Times New Roman" w:cs="Times New Roman" w:eastAsia="Times New Roman" w:hAnsi="Times New Roman"/>
          <w:sz w:val="22"/>
          <w:szCs w:val="22"/>
          <w:color w:val="auto"/>
        </w:rPr>
        <w:t>Reportable Securities that require preclearance include, but are not limited to, the following:</w:t>
      </w:r>
    </w:p>
    <w:p>
      <w:pPr>
        <w:spacing w:after="0" w:line="98" w:lineRule="exact"/>
        <w:rPr>
          <w:sz w:val="20"/>
          <w:szCs w:val="20"/>
          <w:color w:val="auto"/>
        </w:rPr>
      </w:pPr>
    </w:p>
    <w:p>
      <w:pPr>
        <w:ind w:left="1949" w:hanging="338"/>
        <w:spacing w:after="0"/>
        <w:tabs>
          <w:tab w:leader="none" w:pos="194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Publicly Listed Stocks</w:t>
      </w:r>
    </w:p>
    <w:p>
      <w:pPr>
        <w:spacing w:after="0" w:line="14" w:lineRule="exact"/>
        <w:rPr>
          <w:rFonts w:ascii="Times New Roman" w:cs="Times New Roman" w:eastAsia="Times New Roman" w:hAnsi="Times New Roman"/>
          <w:sz w:val="22"/>
          <w:szCs w:val="22"/>
          <w:color w:val="auto"/>
        </w:rPr>
      </w:pPr>
    </w:p>
    <w:p>
      <w:pPr>
        <w:ind w:left="1949" w:hanging="338"/>
        <w:spacing w:after="0" w:line="230" w:lineRule="auto"/>
        <w:tabs>
          <w:tab w:leader="none" w:pos="194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Traded Funds (ETFs)*</w:t>
      </w:r>
    </w:p>
    <w:p>
      <w:pPr>
        <w:ind w:left="1949" w:hanging="338"/>
        <w:spacing w:after="0" w:line="230" w:lineRule="auto"/>
        <w:tabs>
          <w:tab w:leader="none" w:pos="194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Derivatives (e.g., Options**)</w:t>
      </w:r>
    </w:p>
    <w:p>
      <w:pPr>
        <w:ind w:left="1949" w:hanging="338"/>
        <w:spacing w:after="0" w:line="230" w:lineRule="auto"/>
        <w:tabs>
          <w:tab w:leader="none" w:pos="194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Bonds and Notes</w:t>
      </w:r>
    </w:p>
    <w:p>
      <w:pPr>
        <w:ind w:left="1949" w:hanging="338"/>
        <w:spacing w:after="0" w:line="230" w:lineRule="auto"/>
        <w:tabs>
          <w:tab w:leader="none" w:pos="194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Municipal Bonds</w:t>
      </w:r>
    </w:p>
    <w:p>
      <w:pPr>
        <w:ind w:left="1949" w:hanging="338"/>
        <w:spacing w:after="0" w:line="230" w:lineRule="auto"/>
        <w:tabs>
          <w:tab w:leader="none" w:pos="194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Exchanged Traded Notes (ETNs)</w:t>
      </w:r>
    </w:p>
    <w:p>
      <w:pPr>
        <w:ind w:left="1949" w:hanging="338"/>
        <w:spacing w:after="0" w:line="230" w:lineRule="auto"/>
        <w:tabs>
          <w:tab w:leader="none" w:pos="194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Coin Offerings (ICO) and Initial Public Offerings (IPO)</w:t>
      </w:r>
    </w:p>
    <w:p>
      <w:pPr>
        <w:ind w:left="1949" w:hanging="338"/>
        <w:spacing w:after="0" w:line="230" w:lineRule="auto"/>
        <w:tabs>
          <w:tab w:leader="none" w:pos="194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Private Placements</w:t>
      </w:r>
    </w:p>
    <w:p>
      <w:pPr>
        <w:ind w:left="1949" w:hanging="338"/>
        <w:spacing w:after="0"/>
        <w:tabs>
          <w:tab w:leader="none" w:pos="194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Affiliated Securities</w:t>
      </w:r>
    </w:p>
    <w:p>
      <w:pPr>
        <w:spacing w:after="0" w:line="68" w:lineRule="exact"/>
        <w:rPr>
          <w:sz w:val="20"/>
          <w:szCs w:val="20"/>
          <w:color w:val="auto"/>
        </w:rPr>
      </w:pPr>
    </w:p>
    <w:p>
      <w:pPr>
        <w:jc w:val="both"/>
        <w:ind w:left="9" w:right="100"/>
        <w:spacing w:after="0" w:line="256"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1"/>
          <w:szCs w:val="21"/>
          <w:i w:val="1"/>
          <w:iCs w:val="1"/>
          <w:color w:val="auto"/>
        </w:rPr>
        <w:t>If an ETF qualifies as a Diversified ETF at the time of the transaction,</w:t>
      </w:r>
      <w:r>
        <w:rPr>
          <w:rFonts w:ascii="Arial" w:cs="Arial" w:eastAsia="Arial" w:hAnsi="Arial"/>
          <w:sz w:val="20"/>
          <w:szCs w:val="20"/>
          <w:color w:val="auto"/>
        </w:rPr>
        <w:t xml:space="preserve"> </w:t>
      </w:r>
      <w:r>
        <w:rPr>
          <w:rFonts w:ascii="Times New Roman" w:cs="Times New Roman" w:eastAsia="Times New Roman" w:hAnsi="Times New Roman"/>
          <w:sz w:val="21"/>
          <w:szCs w:val="21"/>
          <w:b w:val="1"/>
          <w:bCs w:val="1"/>
          <w:i w:val="1"/>
          <w:iCs w:val="1"/>
          <w:color w:val="auto"/>
        </w:rPr>
        <w:t>it is excluded from the preclearance</w:t>
      </w:r>
      <w:r>
        <w:rPr>
          <w:rFonts w:ascii="Arial" w:cs="Arial" w:eastAsia="Arial" w:hAnsi="Arial"/>
          <w:sz w:val="20"/>
          <w:szCs w:val="20"/>
          <w:color w:val="auto"/>
        </w:rPr>
        <w:t xml:space="preserve"> </w:t>
      </w:r>
      <w:r>
        <w:rPr>
          <w:rFonts w:ascii="Times New Roman" w:cs="Times New Roman" w:eastAsia="Times New Roman" w:hAnsi="Times New Roman"/>
          <w:sz w:val="21"/>
          <w:szCs w:val="21"/>
          <w:b w:val="1"/>
          <w:bCs w:val="1"/>
          <w:i w:val="1"/>
          <w:iCs w:val="1"/>
          <w:color w:val="auto"/>
        </w:rPr>
        <w:t xml:space="preserve">requirement. </w:t>
      </w:r>
      <w:r>
        <w:rPr>
          <w:rFonts w:ascii="Times New Roman" w:cs="Times New Roman" w:eastAsia="Times New Roman" w:hAnsi="Times New Roman"/>
          <w:sz w:val="21"/>
          <w:szCs w:val="21"/>
          <w:i w:val="1"/>
          <w:iCs w:val="1"/>
          <w:color w:val="auto"/>
        </w:rPr>
        <w:t>For the purpose of this Code, a Diversified ETF is defined as an ETF in which no single underlying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 xml:space="preserve">issuer represents 20% or more of the ETF’s total assets. </w:t>
      </w:r>
      <w:r>
        <w:rPr>
          <w:rFonts w:ascii="Times New Roman" w:cs="Times New Roman" w:eastAsia="Times New Roman" w:hAnsi="Times New Roman"/>
          <w:sz w:val="21"/>
          <w:szCs w:val="21"/>
          <w:b w:val="1"/>
          <w:bCs w:val="1"/>
          <w:i w:val="1"/>
          <w:iCs w:val="1"/>
          <w:color w:val="auto"/>
        </w:rPr>
        <w:t>Diversified ETF transactions and holding, like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Reportable Securities, must still be reported quarterly and annually, respectively, during the certification process.</w:t>
      </w:r>
    </w:p>
    <w:p>
      <w:pPr>
        <w:spacing w:after="0" w:line="104" w:lineRule="exact"/>
        <w:rPr>
          <w:sz w:val="20"/>
          <w:szCs w:val="20"/>
          <w:color w:val="auto"/>
        </w:rPr>
      </w:pPr>
    </w:p>
    <w:p>
      <w:pPr>
        <w:jc w:val="both"/>
        <w:ind w:left="569" w:hanging="335"/>
        <w:spacing w:after="0" w:line="246" w:lineRule="auto"/>
        <w:tabs>
          <w:tab w:leader="none" w:pos="569"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 example: An ETF that tracks the S&amp;P 500 Index would be considered a Diversified ETF and is excluded from the preclearance requirement. A single stock ETF designed to track the performance of a single underlying issuer is not considered a Diversified ETF and is subject to the preclearance requirement.</w:t>
      </w:r>
    </w:p>
    <w:p>
      <w:pPr>
        <w:spacing w:after="0" w:line="111" w:lineRule="exact"/>
        <w:rPr>
          <w:rFonts w:ascii="Times New Roman" w:cs="Times New Roman" w:eastAsia="Times New Roman" w:hAnsi="Times New Roman"/>
          <w:sz w:val="22"/>
          <w:szCs w:val="22"/>
          <w:color w:val="auto"/>
        </w:rPr>
      </w:pPr>
    </w:p>
    <w:p>
      <w:pPr>
        <w:ind w:left="269" w:hanging="269"/>
        <w:spacing w:after="0"/>
        <w:tabs>
          <w:tab w:leader="none" w:pos="269" w:val="left"/>
        </w:tabs>
        <w:numPr>
          <w:ilvl w:val="0"/>
          <w:numId w:val="5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Options on Diversified ETFs are also </w:t>
      </w:r>
      <w:r>
        <w:rPr>
          <w:rFonts w:ascii="Times New Roman" w:cs="Times New Roman" w:eastAsia="Times New Roman" w:hAnsi="Times New Roman"/>
          <w:sz w:val="22"/>
          <w:szCs w:val="22"/>
          <w:b w:val="1"/>
          <w:bCs w:val="1"/>
          <w:i w:val="1"/>
          <w:iCs w:val="1"/>
          <w:color w:val="auto"/>
        </w:rPr>
        <w:t>excluded from the preclearance requirement.</w:t>
      </w:r>
    </w:p>
    <w:p>
      <w:pPr>
        <w:spacing w:after="0" w:line="158"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In addition, in-kind donations of a Reportable Security to a charitable organization require preclearance.</w:t>
      </w:r>
    </w:p>
    <w:p>
      <w:pPr>
        <w:spacing w:after="0" w:line="94" w:lineRule="exact"/>
        <w:rPr>
          <w:sz w:val="20"/>
          <w:szCs w:val="20"/>
          <w:color w:val="auto"/>
        </w:rPr>
      </w:pPr>
    </w:p>
    <w:p>
      <w:pPr>
        <w:ind w:left="829"/>
        <w:spacing w:after="0"/>
        <w:rPr>
          <w:sz w:val="20"/>
          <w:szCs w:val="20"/>
          <w:color w:val="auto"/>
        </w:rPr>
      </w:pPr>
      <w:r>
        <w:rPr>
          <w:rFonts w:ascii="Times New Roman" w:cs="Times New Roman" w:eastAsia="Times New Roman" w:hAnsi="Times New Roman"/>
          <w:sz w:val="22"/>
          <w:szCs w:val="22"/>
          <w:b w:val="1"/>
          <w:bCs w:val="1"/>
          <w:color w:val="auto"/>
        </w:rPr>
        <w:t>1.1. Preclearance to Trade Reportable Securities</w:t>
      </w:r>
    </w:p>
    <w:p>
      <w:pPr>
        <w:spacing w:after="0" w:line="156" w:lineRule="exact"/>
        <w:rPr>
          <w:sz w:val="20"/>
          <w:szCs w:val="20"/>
          <w:color w:val="auto"/>
        </w:rPr>
      </w:pPr>
    </w:p>
    <w:p>
      <w:pPr>
        <w:jc w:val="both"/>
        <w:ind w:left="9" w:right="100" w:firstLine="688"/>
        <w:spacing w:after="0" w:line="235" w:lineRule="auto"/>
        <w:rPr>
          <w:sz w:val="20"/>
          <w:szCs w:val="20"/>
          <w:color w:val="auto"/>
        </w:rPr>
      </w:pPr>
      <w:r>
        <w:rPr>
          <w:rFonts w:ascii="Times New Roman" w:cs="Times New Roman" w:eastAsia="Times New Roman" w:hAnsi="Times New Roman"/>
          <w:sz w:val="22"/>
          <w:szCs w:val="22"/>
          <w:color w:val="auto"/>
        </w:rPr>
        <w:t>All Access Persons and Related Persons must submit preclearance requests for the transactions which require preclearance listed above in Section II.B.1. in Publicly Traded Reportable Securities in Non-Managed Accounts. Access Persons and their Related Persons are responsible for reviewing the list of Reportable Securities which require preclearance and determining whether their transaction requires preclearance. Preclearance requests shall be made through the Firm’s compliance portal. A record of such approval (or denial), and a brief description of the reasoning supporting such decision will be maintained in accordance with the recordkeeping requirements of the Advisers Act and the Company Act.</w:t>
      </w:r>
    </w:p>
    <w:p>
      <w:pPr>
        <w:spacing w:after="0" w:line="200" w:lineRule="exact"/>
        <w:rPr>
          <w:sz w:val="20"/>
          <w:szCs w:val="20"/>
          <w:color w:val="auto"/>
        </w:rPr>
      </w:pPr>
    </w:p>
    <w:p>
      <w:pPr>
        <w:spacing w:after="0" w:line="334"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2"/>
          <w:szCs w:val="22"/>
          <w:color w:val="auto"/>
        </w:rPr>
        <w:t>Page -16-</w:t>
      </w:r>
    </w:p>
    <w:p>
      <w:pPr>
        <w:spacing w:after="0" w:line="44"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9"/>
          </w:cols>
          <w:pgMar w:left="891" w:top="1440" w:right="799" w:bottom="1440" w:gutter="0" w:footer="0" w:header="0"/>
        </w:sectPr>
      </w:pPr>
    </w:p>
    <w:bookmarkStart w:id="84" w:name="page85"/>
    <w:bookmarkEnd w:id="8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6690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5">
                      <a:extLst>
                        <a:ext uri="{28A0092B-C50C-407E-A947-70E740481C1C}"/>
                      </a:extLst>
                    </a:blip>
                    <a:srcRect/>
                    <a:stretch>
                      <a:fillRect/>
                    </a:stretch>
                  </pic:blipFill>
                  <pic:spPr bwMode="auto">
                    <a:xfrm>
                      <a:off x="0" y="0"/>
                      <a:ext cx="7136130" cy="8669020"/>
                    </a:xfrm>
                    <a:prstGeom prst="rect">
                      <a:avLst/>
                    </a:prstGeom>
                    <a:noFill/>
                  </pic:spPr>
                </pic:pic>
              </a:graphicData>
            </a:graphic>
          </wp:anchor>
        </w:drawing>
      </w:r>
    </w:p>
    <w:p>
      <w:pPr>
        <w:jc w:val="both"/>
        <w:ind w:firstLine="688"/>
        <w:spacing w:after="0" w:line="238" w:lineRule="auto"/>
        <w:rPr>
          <w:sz w:val="20"/>
          <w:szCs w:val="20"/>
          <w:color w:val="auto"/>
        </w:rPr>
      </w:pPr>
      <w:r>
        <w:rPr>
          <w:rFonts w:ascii="Times New Roman" w:cs="Times New Roman" w:eastAsia="Times New Roman" w:hAnsi="Times New Roman"/>
          <w:sz w:val="22"/>
          <w:szCs w:val="22"/>
          <w:color w:val="auto"/>
        </w:rPr>
        <w:t>Preclearance authorization for publicly traded Reportable Securities noted in Section II.B.1. is effective until the next market close following the approval, unless explicitly extended or revoked by a Compliance Officer. If the approved transaction is not completed by the next close of market trading, the Access Person must submit a new pre-approval request and again receive approval from a Compliance Officer for the relevant transaction. Market close is determined by the exchange on which the security, selected by the Access Person, is traded.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example:</w:t>
      </w:r>
    </w:p>
    <w:p>
      <w:pPr>
        <w:spacing w:after="0" w:line="139" w:lineRule="exact"/>
        <w:rPr>
          <w:sz w:val="20"/>
          <w:szCs w:val="20"/>
          <w:color w:val="auto"/>
        </w:rPr>
      </w:pPr>
    </w:p>
    <w:p>
      <w:pPr>
        <w:jc w:val="both"/>
        <w:ind w:left="1260" w:hanging="347"/>
        <w:spacing w:after="0" w:line="231" w:lineRule="auto"/>
        <w:tabs>
          <w:tab w:leader="none" w:pos="1260" w:val="left"/>
        </w:tabs>
        <w:numPr>
          <w:ilvl w:val="0"/>
          <w:numId w:val="60"/>
        </w:numPr>
        <w:rPr>
          <w:rFonts w:ascii="Times New Roman" w:cs="Times New Roman" w:eastAsia="Times New Roman" w:hAnsi="Times New Roman"/>
          <w:sz w:val="25"/>
          <w:szCs w:val="25"/>
          <w:color w:val="8064A2"/>
        </w:rPr>
      </w:pPr>
      <w:r>
        <w:rPr>
          <w:rFonts w:ascii="Times New Roman" w:cs="Times New Roman" w:eastAsia="Times New Roman" w:hAnsi="Times New Roman"/>
          <w:sz w:val="22"/>
          <w:szCs w:val="22"/>
          <w:color w:val="auto"/>
        </w:rPr>
        <w:t>If a trade is approved during market trading hours, the Access or Related Person will have until market close on the same day the approval was granted to complete the trade. If the approved transaction is not completed during market hours on the same day, a new preclearance request must be submitted.</w:t>
      </w:r>
    </w:p>
    <w:p>
      <w:pPr>
        <w:spacing w:after="0" w:line="113" w:lineRule="exact"/>
        <w:rPr>
          <w:rFonts w:ascii="Times New Roman" w:cs="Times New Roman" w:eastAsia="Times New Roman" w:hAnsi="Times New Roman"/>
          <w:sz w:val="25"/>
          <w:szCs w:val="25"/>
          <w:color w:val="8064A2"/>
        </w:rPr>
      </w:pPr>
    </w:p>
    <w:p>
      <w:pPr>
        <w:ind w:left="1260" w:hanging="347"/>
        <w:spacing w:after="0" w:line="233" w:lineRule="auto"/>
        <w:tabs>
          <w:tab w:leader="none" w:pos="1260" w:val="left"/>
        </w:tabs>
        <w:numPr>
          <w:ilvl w:val="0"/>
          <w:numId w:val="60"/>
        </w:numPr>
        <w:rPr>
          <w:rFonts w:ascii="Times New Roman" w:cs="Times New Roman" w:eastAsia="Times New Roman" w:hAnsi="Times New Roman"/>
          <w:sz w:val="25"/>
          <w:szCs w:val="25"/>
          <w:color w:val="8064A2"/>
        </w:rPr>
      </w:pPr>
      <w:r>
        <w:rPr>
          <w:rFonts w:ascii="Times New Roman" w:cs="Times New Roman" w:eastAsia="Times New Roman" w:hAnsi="Times New Roman"/>
          <w:sz w:val="22"/>
          <w:szCs w:val="22"/>
          <w:color w:val="auto"/>
        </w:rPr>
        <w:t>If a trade is approved after market close, the Access or Related Person will have until market close on the following trading day to complete the trade.</w:t>
      </w:r>
    </w:p>
    <w:p>
      <w:pPr>
        <w:spacing w:after="0" w:line="69" w:lineRule="exact"/>
        <w:rPr>
          <w:sz w:val="20"/>
          <w:szCs w:val="20"/>
          <w:color w:val="auto"/>
        </w:rPr>
      </w:pPr>
    </w:p>
    <w:p>
      <w:pPr>
        <w:jc w:val="both"/>
        <w:ind w:firstLine="688"/>
        <w:spacing w:after="0" w:line="238" w:lineRule="auto"/>
        <w:rPr>
          <w:sz w:val="20"/>
          <w:szCs w:val="20"/>
          <w:color w:val="auto"/>
        </w:rPr>
      </w:pPr>
      <w:r>
        <w:rPr>
          <w:rFonts w:ascii="Times New Roman" w:cs="Times New Roman" w:eastAsia="Times New Roman" w:hAnsi="Times New Roman"/>
          <w:sz w:val="22"/>
          <w:szCs w:val="22"/>
          <w:color w:val="auto"/>
        </w:rPr>
        <w:t>Preclearance requests may be rejected for any reason a Compliance Officer deems appropriate, but requests related to personal securities trades that would violate the provisions of the Code, , including but not limited to the “Front Running,” the “Restricted List” , “Trades of OFS Funds Directors”, “Trades of OFS Funds Securities or Affiliated Securities, and Trades by Access Persons Serving on Company Board, sections below, will generally be rejected.</w:t>
      </w:r>
    </w:p>
    <w:p>
      <w:pPr>
        <w:spacing w:after="0" w:line="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1.2. Preclearance of Automated Investment Plans (“AIPs”)</w:t>
      </w:r>
    </w:p>
    <w:p>
      <w:pPr>
        <w:spacing w:after="0" w:line="156" w:lineRule="exact"/>
        <w:rPr>
          <w:sz w:val="20"/>
          <w:szCs w:val="20"/>
          <w:color w:val="auto"/>
        </w:rPr>
      </w:pPr>
    </w:p>
    <w:p>
      <w:pPr>
        <w:jc w:val="both"/>
        <w:ind w:firstLine="688"/>
        <w:spacing w:after="0" w:line="234" w:lineRule="auto"/>
        <w:rPr>
          <w:sz w:val="20"/>
          <w:szCs w:val="20"/>
          <w:color w:val="auto"/>
        </w:rPr>
      </w:pPr>
      <w:r>
        <w:rPr>
          <w:rFonts w:ascii="Times New Roman" w:cs="Times New Roman" w:eastAsia="Times New Roman" w:hAnsi="Times New Roman"/>
          <w:sz w:val="22"/>
          <w:szCs w:val="22"/>
          <w:color w:val="auto"/>
        </w:rPr>
        <w:t>All Access Persons and their Related Persons interested in contributing to automatic investments in Reportable Securities at regular intervals (“Automatic Investment Plans” or “AIPs”) must contact the Compliance Department prior to submitting an Automated Investment Plans Preclearance Form – a sample of which is attached hereto as Attachment B. Examples of AIPs include, but are not limited to, company dividend reinvestment plans/programs, direct stock purchase plans or any cash sweep that auto-invests in a Reportable Security. Access Persons may complete and submit their AIP Preclearance Form to the Compliance Department about a potential AIP after they have contacted and received initial approval by the Compliance Department. Once the AIP Preclearance Form is approved, the transactions executed as prescribed in the AIP do not need preclearance unless modified. Any modification to the AIP requires the AIP to be re-submitted to Compliance for approval. If the AIP is terminated, the Compliance Department is required to be notified.</w:t>
      </w:r>
    </w:p>
    <w:p>
      <w:pPr>
        <w:spacing w:after="0" w:line="71" w:lineRule="exact"/>
        <w:rPr>
          <w:sz w:val="20"/>
          <w:szCs w:val="20"/>
          <w:color w:val="auto"/>
        </w:rPr>
      </w:pPr>
    </w:p>
    <w:p>
      <w:pPr>
        <w:jc w:val="both"/>
        <w:ind w:firstLine="688"/>
        <w:spacing w:after="0" w:line="258" w:lineRule="auto"/>
        <w:rPr>
          <w:sz w:val="20"/>
          <w:szCs w:val="20"/>
          <w:color w:val="auto"/>
        </w:rPr>
      </w:pPr>
      <w:r>
        <w:rPr>
          <w:rFonts w:ascii="Times New Roman" w:cs="Times New Roman" w:eastAsia="Times New Roman" w:hAnsi="Times New Roman"/>
          <w:sz w:val="22"/>
          <w:szCs w:val="22"/>
          <w:color w:val="auto"/>
        </w:rPr>
        <w:t>Access Persons may find a copy of the AIP Preclearance Form on the Firm’s compliance portal or its intranet site.</w:t>
      </w:r>
    </w:p>
    <w:p>
      <w:pPr>
        <w:spacing w:after="0" w:line="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1.3. Preclearance of Affiliated Securities and Investments</w:t>
      </w:r>
    </w:p>
    <w:p>
      <w:pPr>
        <w:spacing w:after="0" w:line="156" w:lineRule="exact"/>
        <w:rPr>
          <w:sz w:val="20"/>
          <w:szCs w:val="20"/>
          <w:color w:val="auto"/>
        </w:rPr>
      </w:pPr>
    </w:p>
    <w:p>
      <w:pPr>
        <w:jc w:val="both"/>
        <w:ind w:firstLine="688"/>
        <w:spacing w:after="0" w:line="239" w:lineRule="auto"/>
        <w:rPr>
          <w:sz w:val="20"/>
          <w:szCs w:val="20"/>
          <w:color w:val="auto"/>
        </w:rPr>
      </w:pPr>
      <w:r>
        <w:rPr>
          <w:rFonts w:ascii="Times New Roman" w:cs="Times New Roman" w:eastAsia="Times New Roman" w:hAnsi="Times New Roman"/>
          <w:sz w:val="22"/>
          <w:szCs w:val="22"/>
          <w:color w:val="auto"/>
        </w:rPr>
        <w:t>All Access Persons and their Related Persons must submit a preclearance request to donate or transact, whether for direct or indirect personal benefit, in Affiliated Securities, including, but not limited to, OFS Capital Corporation (OFS), OFS Credit Company, Inc. (OCCI), CIM Real Assets &amp; Credit Fund (RACR), Creative Media Community Trust Corporation (CMCT) and CIM Real Estate Finance Trust,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-17-</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40" w:right="899" w:bottom="1440" w:gutter="0" w:footer="0" w:header="0"/>
        </w:sectPr>
      </w:pPr>
    </w:p>
    <w:bookmarkStart w:id="85" w:name="page86"/>
    <w:bookmarkEnd w:id="85"/>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1032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7">
                      <a:extLst>
                        <a:ext uri="{28A0092B-C50C-407E-A947-70E740481C1C}"/>
                      </a:extLst>
                    </a:blip>
                    <a:srcRect/>
                    <a:stretch>
                      <a:fillRect/>
                    </a:stretch>
                  </pic:blipFill>
                  <pic:spPr bwMode="auto">
                    <a:xfrm>
                      <a:off x="0" y="0"/>
                      <a:ext cx="7136130" cy="8103235"/>
                    </a:xfrm>
                    <a:prstGeom prst="rect">
                      <a:avLst/>
                    </a:prstGeom>
                    <a:noFill/>
                  </pic:spPr>
                </pic:pic>
              </a:graphicData>
            </a:graphic>
          </wp:anchor>
        </w:drawing>
      </w:r>
    </w:p>
    <w:p>
      <w:pPr>
        <w:jc w:val="both"/>
        <w:spacing w:after="0" w:line="236" w:lineRule="auto"/>
        <w:rPr>
          <w:sz w:val="20"/>
          <w:szCs w:val="20"/>
          <w:color w:val="auto"/>
        </w:rPr>
      </w:pPr>
      <w:r>
        <w:rPr>
          <w:rFonts w:ascii="Times New Roman" w:cs="Times New Roman" w:eastAsia="Times New Roman" w:hAnsi="Times New Roman"/>
          <w:sz w:val="22"/>
          <w:szCs w:val="22"/>
          <w:color w:val="auto"/>
        </w:rPr>
        <w:t>Inc. (CMFT). Approvals to transact in or donate Affiliated Securities will generally be granted only during an open trading window. If the Affiliated Security is publicly traded, the approved transaction or contribution must be completed by the next market close following the approval, unless explicitly extended or revoked by a Compliance Officer. If such approved transaction or contribution is not completed by the close of market trading on the approval date, the Access Person must submit a new preclearance request through the Firm’s compliance portal prior to the close of any applicable trading window.</w:t>
      </w:r>
    </w:p>
    <w:p>
      <w:pPr>
        <w:spacing w:after="0" w:line="6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1.4. Preclearance for Private Placements, IPOs and ICOs</w:t>
      </w:r>
    </w:p>
    <w:p>
      <w:pPr>
        <w:spacing w:after="0" w:line="156" w:lineRule="exact"/>
        <w:rPr>
          <w:sz w:val="20"/>
          <w:szCs w:val="20"/>
          <w:color w:val="auto"/>
        </w:rPr>
      </w:pPr>
    </w:p>
    <w:p>
      <w:pPr>
        <w:jc w:val="both"/>
        <w:ind w:firstLine="688"/>
        <w:spacing w:after="0" w:line="239" w:lineRule="auto"/>
        <w:rPr>
          <w:sz w:val="20"/>
          <w:szCs w:val="20"/>
          <w:color w:val="auto"/>
        </w:rPr>
      </w:pPr>
      <w:r>
        <w:rPr>
          <w:rFonts w:ascii="Times New Roman" w:cs="Times New Roman" w:eastAsia="Times New Roman" w:hAnsi="Times New Roman"/>
          <w:sz w:val="22"/>
          <w:szCs w:val="22"/>
          <w:color w:val="auto"/>
        </w:rPr>
        <w:t>All Access Persons and Related Persons must submit preclearance requests for all transactions in IPOs, ICOs and/or Private Placements from either the (i) Compliance Department; or (ii) where such Access Person is the CCO, the prior written approval of the Chief Legal Officer. Requests to make such investments shall be made through the Firm’s compliance portal.</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2. Reporting Requirements</w:t>
      </w:r>
    </w:p>
    <w:p>
      <w:pPr>
        <w:spacing w:after="0" w:line="156" w:lineRule="exact"/>
        <w:rPr>
          <w:sz w:val="20"/>
          <w:szCs w:val="20"/>
          <w:color w:val="auto"/>
        </w:rPr>
      </w:pPr>
    </w:p>
    <w:p>
      <w:pPr>
        <w:jc w:val="both"/>
        <w:ind w:firstLine="688"/>
        <w:spacing w:after="0" w:line="258" w:lineRule="auto"/>
        <w:rPr>
          <w:sz w:val="20"/>
          <w:szCs w:val="20"/>
          <w:color w:val="auto"/>
        </w:rPr>
      </w:pPr>
      <w:r>
        <w:rPr>
          <w:rFonts w:ascii="Times New Roman" w:cs="Times New Roman" w:eastAsia="Times New Roman" w:hAnsi="Times New Roman"/>
          <w:sz w:val="22"/>
          <w:szCs w:val="22"/>
          <w:color w:val="auto"/>
        </w:rPr>
        <w:t>The following personal Securities holdings and transaction reporting requirements have been adopted to enable each of OFS Adviser and each OFS Fund to satisfy their legal and regulatory requirements:</w:t>
      </w:r>
    </w:p>
    <w:p>
      <w:pPr>
        <w:spacing w:after="0" w:line="50" w:lineRule="exact"/>
        <w:rPr>
          <w:sz w:val="20"/>
          <w:szCs w:val="20"/>
          <w:color w:val="auto"/>
        </w:rPr>
      </w:pPr>
    </w:p>
    <w:p>
      <w:pPr>
        <w:jc w:val="both"/>
        <w:ind w:left="1360" w:hanging="681"/>
        <w:spacing w:after="0" w:line="238" w:lineRule="auto"/>
        <w:tabs>
          <w:tab w:leader="none" w:pos="13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cases, within ten (10) calendar days from the date of commencement of employment (or other engagement or arrangement) with the Firm, every new Access Person shall submit to the Compliance Department, through the Firm’s compliance portal, the required information about any Affiliated Accounts (such information must be current as of a date no more than forty-five (45) calendar days prior to the date the person becomes an Access Person);</w:t>
      </w:r>
    </w:p>
    <w:p>
      <w:pPr>
        <w:spacing w:after="0" w:line="203" w:lineRule="exact"/>
        <w:rPr>
          <w:rFonts w:ascii="Times New Roman" w:cs="Times New Roman" w:eastAsia="Times New Roman" w:hAnsi="Times New Roman"/>
          <w:sz w:val="22"/>
          <w:szCs w:val="22"/>
          <w:color w:val="auto"/>
        </w:rPr>
      </w:pPr>
    </w:p>
    <w:p>
      <w:pPr>
        <w:jc w:val="both"/>
        <w:ind w:left="1360" w:hanging="681"/>
        <w:spacing w:after="0" w:line="246" w:lineRule="auto"/>
        <w:tabs>
          <w:tab w:leader="none" w:pos="136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sixty (60) calendar days of becoming an Access Person, every new Access Person must transfer all Non-Managed Accounts in which Reportable Securities are held or are capable of being held to a broker-dealer to which the Compliance Department has access via the Firm’s compliance portal (an “Approved Broker”). Subsequently, any new Non-Managed Accounts opened on behalf of such Access Person or his or her Related Person in which Reportable Securities will be held or transacted must be established with an Approved Broker. The Compliance Department maintains a list of Approved Brokers, which can be found on the Firm’s compliance portal site. Holdings and transactions in Reportable Securities in these accounts are electronically reported to the Compliance Department by the Approved Brokers through the compliance portal.</w:t>
      </w:r>
    </w:p>
    <w:p>
      <w:pPr>
        <w:spacing w:after="0" w:line="215" w:lineRule="exact"/>
        <w:rPr>
          <w:rFonts w:ascii="Times New Roman" w:cs="Times New Roman" w:eastAsia="Times New Roman" w:hAnsi="Times New Roman"/>
          <w:sz w:val="21"/>
          <w:szCs w:val="21"/>
          <w:color w:val="auto"/>
        </w:rPr>
      </w:pPr>
    </w:p>
    <w:p>
      <w:pPr>
        <w:ind w:left="1360" w:hanging="681"/>
        <w:spacing w:after="0" w:line="258" w:lineRule="auto"/>
        <w:tabs>
          <w:tab w:leader="none" w:pos="13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exception to the Approved Broker policy above must be approved in writing by a Compliance Officer.</w:t>
      </w:r>
    </w:p>
    <w:p>
      <w:pPr>
        <w:spacing w:after="0" w:line="144" w:lineRule="exact"/>
        <w:rPr>
          <w:rFonts w:ascii="Times New Roman" w:cs="Times New Roman" w:eastAsia="Times New Roman" w:hAnsi="Times New Roman"/>
          <w:sz w:val="22"/>
          <w:szCs w:val="22"/>
          <w:color w:val="auto"/>
        </w:rPr>
      </w:pPr>
    </w:p>
    <w:p>
      <w:pPr>
        <w:ind w:left="1360" w:hanging="681"/>
        <w:spacing w:after="0"/>
        <w:tabs>
          <w:tab w:leader="none" w:pos="13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Compliance Due Date and no later than thirty (30) calendar days after each quarter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-18-</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40" w:right="899" w:bottom="1440" w:gutter="0" w:footer="0" w:header="0"/>
        </w:sectPr>
      </w:pPr>
    </w:p>
    <w:bookmarkStart w:id="86" w:name="page87"/>
    <w:bookmarkEnd w:id="86"/>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3947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9">
                      <a:extLst>
                        <a:ext uri="{28A0092B-C50C-407E-A947-70E740481C1C}"/>
                      </a:extLst>
                    </a:blip>
                    <a:srcRect/>
                    <a:stretch>
                      <a:fillRect/>
                    </a:stretch>
                  </pic:blipFill>
                  <pic:spPr bwMode="auto">
                    <a:xfrm>
                      <a:off x="0" y="0"/>
                      <a:ext cx="7136130" cy="8394700"/>
                    </a:xfrm>
                    <a:prstGeom prst="rect">
                      <a:avLst/>
                    </a:prstGeom>
                    <a:noFill/>
                  </pic:spPr>
                </pic:pic>
              </a:graphicData>
            </a:graphic>
          </wp:anchor>
        </w:drawing>
      </w:r>
    </w:p>
    <w:p>
      <w:pPr>
        <w:jc w:val="both"/>
        <w:ind w:left="1360"/>
        <w:spacing w:after="0" w:line="244" w:lineRule="auto"/>
        <w:rPr>
          <w:sz w:val="20"/>
          <w:szCs w:val="20"/>
          <w:color w:val="auto"/>
        </w:rPr>
      </w:pPr>
      <w:r>
        <w:rPr>
          <w:rFonts w:ascii="Times New Roman" w:cs="Times New Roman" w:eastAsia="Times New Roman" w:hAnsi="Times New Roman"/>
          <w:sz w:val="22"/>
          <w:szCs w:val="22"/>
          <w:color w:val="auto"/>
        </w:rPr>
        <w:t>end, every Access Person is required to certify all Affiliated Accounts via the Firm’s compliance portal. Any updates to an Access Person’s accounts must be reported via the Firm’s compliance portal within thirty (30) calendar days of opening or closing of such Affiliated Account.</w:t>
      </w:r>
    </w:p>
    <w:p>
      <w:pPr>
        <w:spacing w:after="0" w:line="173" w:lineRule="exact"/>
        <w:rPr>
          <w:sz w:val="20"/>
          <w:szCs w:val="20"/>
          <w:color w:val="auto"/>
        </w:rPr>
      </w:pPr>
    </w:p>
    <w:p>
      <w:pPr>
        <w:jc w:val="both"/>
        <w:ind w:left="1360" w:hanging="681"/>
        <w:spacing w:after="0" w:line="238" w:lineRule="auto"/>
        <w:tabs>
          <w:tab w:leader="none" w:pos="136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Compliance Due Date and no later than thirty (30) calendar days after each quarter end, every Access Person is required to certify via the Firm’s compliance portal, all transactions in Reportable Securities in Non-Managed Accounts, as recorded by the system during the quarter. Any transactions in Reportable Securities in a Non-Managed Account not included within the Firm’s compliance portal should be reported separately by the Access Person.</w:t>
      </w:r>
    </w:p>
    <w:p>
      <w:pPr>
        <w:spacing w:after="0" w:line="217" w:lineRule="exact"/>
        <w:rPr>
          <w:rFonts w:ascii="Times New Roman" w:cs="Times New Roman" w:eastAsia="Times New Roman" w:hAnsi="Times New Roman"/>
          <w:sz w:val="22"/>
          <w:szCs w:val="22"/>
          <w:color w:val="auto"/>
        </w:rPr>
      </w:pPr>
    </w:p>
    <w:p>
      <w:pPr>
        <w:jc w:val="both"/>
        <w:ind w:left="1360" w:hanging="681"/>
        <w:spacing w:after="0" w:line="235" w:lineRule="auto"/>
        <w:tabs>
          <w:tab w:leader="none" w:pos="136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Compliance Due Date and no later than forty-five (45) calendar days following the end of each calendar year (i.e., February 14), every Access Person is required to certify, via the Firm’s compliance portal, such Access Person’s and their Related Persons’ holdings of Reportable Securities in Non-Managed Affiliated Accounts as of year- end, including Reportable Securities holdings held in Automatic Investment Plans. Any holdings in Reportable Securities in a Non-Managed Account or an Automated Investment Plan, not already reflected within the Firm’s compliance portal, should be reported separately by the Access Person.</w:t>
      </w:r>
    </w:p>
    <w:p>
      <w:pPr>
        <w:spacing w:after="0" w:line="341" w:lineRule="exact"/>
        <w:rPr>
          <w:rFonts w:ascii="Times New Roman" w:cs="Times New Roman" w:eastAsia="Times New Roman" w:hAnsi="Times New Roman"/>
          <w:sz w:val="22"/>
          <w:szCs w:val="22"/>
          <w:color w:val="auto"/>
        </w:rPr>
      </w:pPr>
    </w:p>
    <w:p>
      <w:pPr>
        <w:ind w:left="820" w:hanging="251"/>
        <w:spacing w:after="0"/>
        <w:tabs>
          <w:tab w:leader="none" w:pos="82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Managed Accounts</w:t>
      </w:r>
    </w:p>
    <w:p>
      <w:pPr>
        <w:spacing w:after="0" w:line="156" w:lineRule="exact"/>
        <w:rPr>
          <w:sz w:val="20"/>
          <w:szCs w:val="20"/>
          <w:color w:val="auto"/>
        </w:rPr>
      </w:pPr>
    </w:p>
    <w:p>
      <w:pPr>
        <w:jc w:val="both"/>
        <w:ind w:firstLine="688"/>
        <w:spacing w:after="0" w:line="235" w:lineRule="auto"/>
        <w:rPr>
          <w:sz w:val="20"/>
          <w:szCs w:val="20"/>
          <w:color w:val="auto"/>
        </w:rPr>
      </w:pPr>
      <w:r>
        <w:rPr>
          <w:rFonts w:ascii="Times New Roman" w:cs="Times New Roman" w:eastAsia="Times New Roman" w:hAnsi="Times New Roman"/>
          <w:sz w:val="22"/>
          <w:szCs w:val="22"/>
          <w:color w:val="auto"/>
        </w:rPr>
        <w:t>The Firm recognizes that it may be impossible or impractical for accounts that are controlled or invested on a fully discretionary basis by a third party, such as an investment adviser or broker (“Managed Accounts”), to comply with the Preclearance and Reporting Requirements section and Statement of Restrictions section of the Code. Therefore, Managed Accounts are exempted from such procedures, provided that the Access Person cedes any and all control over investment decisions for the account (other than general asset class and objectives guidelines) to such third party and does not communicate with such person with respect to individual transactions for the account. Special rules apply with respect to whether an Access Person “controls” the investment decisions of an entity in which he or she invests; guidance from a Compliance Officer should be sought in such instances.</w:t>
      </w:r>
    </w:p>
    <w:p>
      <w:pPr>
        <w:spacing w:after="0" w:line="70" w:lineRule="exact"/>
        <w:rPr>
          <w:sz w:val="20"/>
          <w:szCs w:val="20"/>
          <w:color w:val="auto"/>
        </w:rPr>
      </w:pPr>
    </w:p>
    <w:p>
      <w:pPr>
        <w:jc w:val="both"/>
        <w:ind w:firstLine="688"/>
        <w:spacing w:after="0" w:line="234" w:lineRule="auto"/>
        <w:rPr>
          <w:sz w:val="20"/>
          <w:szCs w:val="20"/>
          <w:color w:val="auto"/>
        </w:rPr>
      </w:pPr>
      <w:r>
        <w:rPr>
          <w:rFonts w:ascii="Times New Roman" w:cs="Times New Roman" w:eastAsia="Times New Roman" w:hAnsi="Times New Roman"/>
          <w:sz w:val="22"/>
          <w:szCs w:val="22"/>
          <w:color w:val="auto"/>
        </w:rPr>
        <w:t>The Firm requires that general information regarding Managed Accounts, including broker, account title, account number, and the status of the account, be reported through the Firm’s compliance portal. In order to properly establish a Managed Account, the Access Persons is required to provide to the Compliance Department evidence that full investment discretion has been provided to the third-party investment adviser or broker (e.g., provide the investment management agreement or a letter from the investment adviser/broker attesting that it has full investment discretion over the Access Persons’ or their Related Persons’ account). Upon establishing a Managed Account in the Firm’s compliance portal and quarterly thereafter, the Access Person is required to certify within the Firm’s compliance portal that he or she does not participate, directly or indirectly in individual investment decisions in the Managed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-19-</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40" w:right="899" w:bottom="1440" w:gutter="0" w:footer="0" w:header="0"/>
        </w:sectPr>
      </w:pPr>
    </w:p>
    <w:bookmarkStart w:id="87" w:name="page88"/>
    <w:bookmarkEnd w:id="87"/>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4886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1">
                      <a:extLst>
                        <a:ext uri="{28A0092B-C50C-407E-A947-70E740481C1C}"/>
                      </a:extLst>
                    </a:blip>
                    <a:srcRect/>
                    <a:stretch>
                      <a:fillRect/>
                    </a:stretch>
                  </pic:blipFill>
                  <pic:spPr bwMode="auto">
                    <a:xfrm>
                      <a:off x="0" y="0"/>
                      <a:ext cx="7136130" cy="8488680"/>
                    </a:xfrm>
                    <a:prstGeom prst="rect">
                      <a:avLst/>
                    </a:prstGeom>
                    <a:noFill/>
                  </pic:spPr>
                </pic:pic>
              </a:graphicData>
            </a:graphic>
          </wp:anchor>
        </w:drawing>
      </w:r>
    </w:p>
    <w:p>
      <w:pPr>
        <w:ind w:left="9"/>
        <w:spacing w:after="0"/>
        <w:rPr>
          <w:sz w:val="20"/>
          <w:szCs w:val="20"/>
          <w:color w:val="auto"/>
        </w:rPr>
      </w:pPr>
      <w:r>
        <w:rPr>
          <w:rFonts w:ascii="Times New Roman" w:cs="Times New Roman" w:eastAsia="Times New Roman" w:hAnsi="Times New Roman"/>
          <w:sz w:val="22"/>
          <w:szCs w:val="22"/>
          <w:color w:val="auto"/>
        </w:rPr>
        <w:t>Account or be made aware of such decisions before transactions are executed.</w:t>
      </w:r>
    </w:p>
    <w:p>
      <w:pPr>
        <w:spacing w:after="0" w:line="94"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22"/>
          <w:szCs w:val="22"/>
          <w:b w:val="1"/>
          <w:bCs w:val="1"/>
          <w:color w:val="auto"/>
        </w:rPr>
        <w:t>4. Non-Transferable Accounts</w:t>
      </w:r>
    </w:p>
    <w:p>
      <w:pPr>
        <w:spacing w:after="0" w:line="156" w:lineRule="exact"/>
        <w:rPr>
          <w:sz w:val="20"/>
          <w:szCs w:val="20"/>
          <w:color w:val="auto"/>
        </w:rPr>
      </w:pPr>
    </w:p>
    <w:p>
      <w:pPr>
        <w:jc w:val="both"/>
        <w:ind w:left="9" w:firstLine="688"/>
        <w:spacing w:after="0" w:line="235" w:lineRule="auto"/>
        <w:rPr>
          <w:sz w:val="20"/>
          <w:szCs w:val="20"/>
          <w:color w:val="auto"/>
        </w:rPr>
      </w:pPr>
      <w:r>
        <w:rPr>
          <w:rFonts w:ascii="Times New Roman" w:cs="Times New Roman" w:eastAsia="Times New Roman" w:hAnsi="Times New Roman"/>
          <w:sz w:val="22"/>
          <w:szCs w:val="22"/>
          <w:color w:val="auto"/>
        </w:rPr>
        <w:t>The Firm recognizes that it may be impossible or impracticable for certain types of Non- Managed Accounts (e.g. 401(k) accounts) of Access Persons or their Related Persons with other employers, or an account pledged to secure a personal loan, etc. to be transferred to an Approved Broker. A Compliance Officer may exempt any such Non-Managed Account from the Approved Broker procedures set forth above provided that the Access Person shall be responsible for reporting transactions and holdings of Reportable Securities (e.g. employer shares) in such account as set forth above and complying with the Statement of Restrictions section of the Code with respect to such Non-Managed Accounts.</w:t>
      </w:r>
    </w:p>
    <w:p>
      <w:pPr>
        <w:spacing w:after="0" w:line="75" w:lineRule="exact"/>
        <w:rPr>
          <w:sz w:val="20"/>
          <w:szCs w:val="20"/>
          <w:color w:val="auto"/>
        </w:rPr>
      </w:pPr>
    </w:p>
    <w:p>
      <w:pPr>
        <w:jc w:val="both"/>
        <w:ind w:left="9" w:firstLine="688"/>
        <w:spacing w:after="0" w:line="238" w:lineRule="auto"/>
        <w:rPr>
          <w:sz w:val="20"/>
          <w:szCs w:val="20"/>
          <w:color w:val="auto"/>
        </w:rPr>
      </w:pPr>
      <w:r>
        <w:rPr>
          <w:rFonts w:ascii="Times New Roman" w:cs="Times New Roman" w:eastAsia="Times New Roman" w:hAnsi="Times New Roman"/>
          <w:sz w:val="22"/>
          <w:szCs w:val="22"/>
          <w:color w:val="auto"/>
        </w:rPr>
        <w:t>The Firm requires that all such “non-transferable” Non-Managed Accounts be reported to the Compliance Department so that an exemption may properly be granted. General information regarding such accounts must be reported through the Firm’s compliance portal. A Compliance Officer may, as a condition to exempting such Affiliated Accounts, require, initially and periodically thereafter, copies of account statements, a certification from the Access Person, or such other information as such Compliance Officer deems prudent.</w:t>
      </w:r>
    </w:p>
    <w:p>
      <w:pPr>
        <w:spacing w:after="0" w:line="65"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22"/>
          <w:szCs w:val="22"/>
          <w:b w:val="1"/>
          <w:bCs w:val="1"/>
          <w:color w:val="auto"/>
        </w:rPr>
        <w:t>5. Transactions Subject to Review</w:t>
      </w:r>
    </w:p>
    <w:p>
      <w:pPr>
        <w:spacing w:after="0" w:line="156" w:lineRule="exact"/>
        <w:rPr>
          <w:sz w:val="20"/>
          <w:szCs w:val="20"/>
          <w:color w:val="auto"/>
        </w:rPr>
      </w:pPr>
    </w:p>
    <w:p>
      <w:pPr>
        <w:jc w:val="both"/>
        <w:ind w:left="9" w:firstLine="688"/>
        <w:spacing w:after="0" w:line="238" w:lineRule="auto"/>
        <w:rPr>
          <w:sz w:val="20"/>
          <w:szCs w:val="20"/>
          <w:color w:val="auto"/>
        </w:rPr>
      </w:pPr>
      <w:r>
        <w:rPr>
          <w:rFonts w:ascii="Times New Roman" w:cs="Times New Roman" w:eastAsia="Times New Roman" w:hAnsi="Times New Roman"/>
          <w:sz w:val="22"/>
          <w:szCs w:val="22"/>
          <w:color w:val="auto"/>
        </w:rPr>
        <w:t>Transactions and holding information reported via the Firm’s compliance portal will be reviewed by a Compliance Officer and compared against the investments made or considered by each of the Advisory Clients. Such review and comparison are designed to evaluate compliance with the Code and, further, to determine whether there have been any violations of applicable law. Reporting made by a Compliance Officer is reviewed by a different Compliance Officer so that no Compliance Officer is reviewing his or her own reporting.</w:t>
      </w:r>
    </w:p>
    <w:p>
      <w:pPr>
        <w:spacing w:after="0" w:line="65" w:lineRule="exact"/>
        <w:rPr>
          <w:sz w:val="20"/>
          <w:szCs w:val="20"/>
          <w:color w:val="auto"/>
        </w:rPr>
      </w:pPr>
    </w:p>
    <w:p>
      <w:pPr>
        <w:ind w:left="689" w:hanging="689"/>
        <w:spacing w:after="0"/>
        <w:tabs>
          <w:tab w:leader="none" w:pos="689"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STATEMENT OF RESTRICTIONS</w:t>
      </w:r>
    </w:p>
    <w:p>
      <w:pPr>
        <w:spacing w:after="0" w:line="206" w:lineRule="exact"/>
        <w:rPr>
          <w:sz w:val="20"/>
          <w:szCs w:val="20"/>
          <w:color w:val="auto"/>
        </w:rPr>
      </w:pPr>
    </w:p>
    <w:p>
      <w:pPr>
        <w:ind w:left="1189" w:hanging="404"/>
        <w:spacing w:after="0"/>
        <w:tabs>
          <w:tab w:leader="none" w:pos="1189"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“Front Running”</w:t>
      </w:r>
    </w:p>
    <w:p>
      <w:pPr>
        <w:spacing w:after="0" w:line="156" w:lineRule="exact"/>
        <w:rPr>
          <w:sz w:val="20"/>
          <w:szCs w:val="20"/>
          <w:color w:val="auto"/>
        </w:rPr>
      </w:pPr>
    </w:p>
    <w:p>
      <w:pPr>
        <w:jc w:val="both"/>
        <w:ind w:left="9" w:firstLine="688"/>
        <w:spacing w:after="0" w:line="236" w:lineRule="auto"/>
        <w:rPr>
          <w:sz w:val="20"/>
          <w:szCs w:val="20"/>
          <w:color w:val="auto"/>
        </w:rPr>
      </w:pPr>
      <w:r>
        <w:rPr>
          <w:rFonts w:ascii="Times New Roman" w:cs="Times New Roman" w:eastAsia="Times New Roman" w:hAnsi="Times New Roman"/>
          <w:sz w:val="22"/>
          <w:szCs w:val="22"/>
          <w:color w:val="auto"/>
        </w:rPr>
        <w:t>Front running is the illegal practice of trading in a Security based on advance non-public information. A personal trade in Securities (“Personal Securities Trade”), based on material nonpublic information or with advance knowledge of an anticipated OFS Advisory Client trade in the Security contemplated for personal trading, is prohibited. Unless specifically permitted within this Code and excluding Exempt Securities, no Access Person or Related Person may execute a Personal Securities Trade in a Non-Managed Account in a security if OFS Adviser (on behalf of its Advisory Clients):</w:t>
      </w:r>
    </w:p>
    <w:p>
      <w:pPr>
        <w:spacing w:after="0" w:line="330" w:lineRule="exact"/>
        <w:rPr>
          <w:sz w:val="20"/>
          <w:szCs w:val="20"/>
          <w:color w:val="auto"/>
        </w:rPr>
      </w:pPr>
    </w:p>
    <w:p>
      <w:pPr>
        <w:ind w:left="1429" w:hanging="685"/>
        <w:spacing w:after="0"/>
        <w:tabs>
          <w:tab w:leader="none" w:pos="14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pending buy or sell order in the same specific security;</w:t>
      </w:r>
    </w:p>
    <w:p>
      <w:pPr>
        <w:spacing w:after="0" w:line="98" w:lineRule="exact"/>
        <w:rPr>
          <w:rFonts w:ascii="Times New Roman" w:cs="Times New Roman" w:eastAsia="Times New Roman" w:hAnsi="Times New Roman"/>
          <w:sz w:val="22"/>
          <w:szCs w:val="22"/>
          <w:color w:val="auto"/>
        </w:rPr>
      </w:pPr>
    </w:p>
    <w:p>
      <w:pPr>
        <w:ind w:left="1429" w:hanging="685"/>
        <w:spacing w:after="0" w:line="258" w:lineRule="auto"/>
        <w:tabs>
          <w:tab w:leader="none" w:pos="14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bought or sold the same specific security within five (5) business days before or after the Access Person or Related Person’s potential Personal Securities Trade; or</w:t>
      </w:r>
    </w:p>
    <w:p>
      <w:pPr>
        <w:spacing w:after="0" w:line="50" w:lineRule="exact"/>
        <w:rPr>
          <w:rFonts w:ascii="Times New Roman" w:cs="Times New Roman" w:eastAsia="Times New Roman" w:hAnsi="Times New Roman"/>
          <w:sz w:val="22"/>
          <w:szCs w:val="22"/>
          <w:color w:val="auto"/>
        </w:rPr>
      </w:pPr>
    </w:p>
    <w:p>
      <w:pPr>
        <w:ind w:left="1429" w:hanging="685"/>
        <w:spacing w:after="0"/>
        <w:tabs>
          <w:tab w:leader="none" w:pos="14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considering a purchase or sale of the same specific security in the next </w:t>
      </w:r>
      <w:r>
        <w:rPr>
          <w:rFonts w:ascii="Times New Roman" w:cs="Times New Roman" w:eastAsia="Times New Roman" w:hAnsi="Times New Roman"/>
          <w:sz w:val="22"/>
          <w:szCs w:val="22"/>
          <w:u w:val="single" w:color="auto"/>
          <w:color w:val="auto"/>
        </w:rPr>
        <w:t>five</w:t>
      </w:r>
      <w:r>
        <w:rPr>
          <w:rFonts w:ascii="Times New Roman" w:cs="Times New Roman" w:eastAsia="Times New Roman" w:hAnsi="Times New Roman"/>
          <w:sz w:val="22"/>
          <w:szCs w:val="22"/>
          <w:color w:val="auto"/>
        </w:rPr>
        <w:t xml:space="preserve"> (5) business</w:t>
      </w:r>
    </w:p>
    <w:p>
      <w:pPr>
        <w:spacing w:after="0" w:line="200" w:lineRule="exact"/>
        <w:rPr>
          <w:sz w:val="20"/>
          <w:szCs w:val="20"/>
          <w:color w:val="auto"/>
        </w:rPr>
      </w:pPr>
    </w:p>
    <w:p>
      <w:pPr>
        <w:spacing w:after="0" w:line="24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-20-</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88" w:name="page89"/>
    <w:bookmarkEnd w:id="88"/>
    <w:p>
      <w:pPr>
        <w:jc w:val="both"/>
        <w:ind w:left="1420"/>
        <w:spacing w:after="0" w:line="24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5490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3">
                      <a:extLst>
                        <a:ext uri="{28A0092B-C50C-407E-A947-70E740481C1C}"/>
                      </a:extLst>
                    </a:blip>
                    <a:srcRect/>
                    <a:stretch>
                      <a:fillRect/>
                    </a:stretch>
                  </pic:blipFill>
                  <pic:spPr bwMode="auto">
                    <a:xfrm>
                      <a:off x="0" y="0"/>
                      <a:ext cx="7136130" cy="8549005"/>
                    </a:xfrm>
                    <a:prstGeom prst="rect">
                      <a:avLst/>
                    </a:prstGeom>
                    <a:noFill/>
                  </pic:spPr>
                </pic:pic>
              </a:graphicData>
            </a:graphic>
          </wp:anchor>
        </w:drawing>
        <w:t xml:space="preserve">days. OFS Adviser is deemed to be </w:t>
      </w:r>
      <w:r>
        <w:rPr>
          <w:rFonts w:ascii="Times New Roman" w:cs="Times New Roman" w:eastAsia="Times New Roman" w:hAnsi="Times New Roman"/>
          <w:sz w:val="22"/>
          <w:szCs w:val="22"/>
          <w:i w:val="1"/>
          <w:iCs w:val="1"/>
          <w:color w:val="auto"/>
        </w:rPr>
        <w:t>considering</w:t>
      </w:r>
      <w:r>
        <w:rPr>
          <w:rFonts w:ascii="Times New Roman" w:cs="Times New Roman" w:eastAsia="Times New Roman" w:hAnsi="Times New Roman"/>
          <w:sz w:val="22"/>
          <w:szCs w:val="22"/>
          <w:color w:val="auto"/>
        </w:rPr>
        <w:t xml:space="preserve"> a purchase or sale when a recommendation to purchase or sell a security has been made known, and/or communicated by the Investment Department.</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2. Restricted List</w:t>
      </w:r>
    </w:p>
    <w:p>
      <w:pPr>
        <w:spacing w:after="0" w:line="156" w:lineRule="exact"/>
        <w:rPr>
          <w:sz w:val="20"/>
          <w:szCs w:val="20"/>
          <w:color w:val="auto"/>
        </w:rPr>
      </w:pPr>
    </w:p>
    <w:p>
      <w:pPr>
        <w:jc w:val="both"/>
        <w:ind w:firstLine="688"/>
        <w:spacing w:after="0" w:line="236" w:lineRule="auto"/>
        <w:rPr>
          <w:sz w:val="20"/>
          <w:szCs w:val="20"/>
          <w:color w:val="auto"/>
        </w:rPr>
      </w:pPr>
      <w:r>
        <w:rPr>
          <w:rFonts w:ascii="Times New Roman" w:cs="Times New Roman" w:eastAsia="Times New Roman" w:hAnsi="Times New Roman"/>
          <w:sz w:val="22"/>
          <w:szCs w:val="22"/>
          <w:color w:val="auto"/>
        </w:rPr>
        <w:t>No Access Person or Related Person may make a Personal Securities Trade in any Non-Managed Account in the Securities of an issuer, a Security whose performance tracks the performance of an issuer (e.g., single stock ETF) or Security that derives its value from the value of an issuer (e.g., futures, options, forwards and swaps) listed on the Firm’s Restricted List. The Restricted List is not published for Access Persons to review, but all pre-clearance requests for Securities, issuers or underlying issuers of which a Security tracks or derives its performance that are currently on the Firm’s Restricted List will be rejected, regardless of trading size.</w:t>
      </w:r>
    </w:p>
    <w:p>
      <w:pPr>
        <w:spacing w:after="0" w:line="73" w:lineRule="exact"/>
        <w:rPr>
          <w:sz w:val="20"/>
          <w:szCs w:val="20"/>
          <w:color w:val="auto"/>
        </w:rPr>
      </w:pPr>
    </w:p>
    <w:p>
      <w:pPr>
        <w:jc w:val="both"/>
        <w:ind w:firstLine="688"/>
        <w:spacing w:after="0" w:line="239" w:lineRule="auto"/>
        <w:rPr>
          <w:sz w:val="20"/>
          <w:szCs w:val="20"/>
          <w:color w:val="auto"/>
        </w:rPr>
      </w:pPr>
      <w:r>
        <w:rPr>
          <w:rFonts w:ascii="Times New Roman" w:cs="Times New Roman" w:eastAsia="Times New Roman" w:hAnsi="Times New Roman"/>
          <w:sz w:val="22"/>
          <w:szCs w:val="22"/>
          <w:color w:val="auto"/>
        </w:rPr>
        <w:t>The Firm may place an issuer or Security on the Restricted List at any time without prior notice to Access Persons. Therefore, Access Persons or Related Persons who obtain Securities of an issuer that is later placed on the Restricted List may be “frozen in,” or prohibited from disposing of such Securities, until the issuer has been removed from the Restricted List.</w:t>
      </w:r>
    </w:p>
    <w:p>
      <w:pPr>
        <w:spacing w:after="0" w:line="72" w:lineRule="exact"/>
        <w:rPr>
          <w:sz w:val="20"/>
          <w:szCs w:val="20"/>
          <w:color w:val="auto"/>
        </w:rPr>
      </w:pPr>
    </w:p>
    <w:p>
      <w:pPr>
        <w:jc w:val="both"/>
        <w:ind w:firstLine="688"/>
        <w:spacing w:after="0" w:line="233" w:lineRule="auto"/>
        <w:rPr>
          <w:sz w:val="20"/>
          <w:szCs w:val="20"/>
          <w:color w:val="auto"/>
        </w:rPr>
      </w:pPr>
      <w:r>
        <w:rPr>
          <w:rFonts w:ascii="Times New Roman" w:cs="Times New Roman" w:eastAsia="Times New Roman" w:hAnsi="Times New Roman"/>
          <w:sz w:val="22"/>
          <w:szCs w:val="22"/>
          <w:color w:val="auto"/>
        </w:rPr>
        <w:t xml:space="preserve">The Firm understands that an Access Person recently joining the Firm as a new employee (“New Hire”), or their Related Persons, may be financially disadvantaged by being restricted from liquidating holdings of a Security of an issuer included on the Firm’s Restricted List (“Restricted List Security”). Therefore, under limited conditions and </w:t>
      </w:r>
      <w:r>
        <w:rPr>
          <w:rFonts w:ascii="Times New Roman" w:cs="Times New Roman" w:eastAsia="Times New Roman" w:hAnsi="Times New Roman"/>
          <w:sz w:val="22"/>
          <w:szCs w:val="22"/>
          <w:u w:val="single" w:color="auto"/>
          <w:color w:val="auto"/>
        </w:rPr>
        <w:t>prior to his or her start date</w:t>
      </w:r>
      <w:r>
        <w:rPr>
          <w:rFonts w:ascii="Times New Roman" w:cs="Times New Roman" w:eastAsia="Times New Roman" w:hAnsi="Times New Roman"/>
          <w:sz w:val="22"/>
          <w:szCs w:val="22"/>
          <w:color w:val="auto"/>
        </w:rPr>
        <w:t xml:space="preserve"> (i.e., the first day on which the New Hire begins working in his or her position with the Firm), a New Hire may request to place a liquidating trade in a Restricted List Security. As New Hires will not have access to the Restricted List prior to their start date, New Hires must provide any potential securities to be liquidated to the Compliance Department, and Compliance will respond as to whether the issuers of such securities are on the Restricted List. The request to liquidate must be made by the New Hire prior to his or her start date by completing the “Request to Place a Liquidating Trade in a Restricted Security” form, which can be obtained from Compliance. Compliance will review each request on a case-by-case basis and approve or deny the request, assessing all available and relevant information</w:t>
      </w:r>
      <w:r>
        <w:rPr>
          <w:rFonts w:ascii="Times New Roman" w:cs="Times New Roman" w:eastAsia="Times New Roman" w:hAnsi="Times New Roman"/>
          <w:sz w:val="22"/>
          <w:szCs w:val="22"/>
          <w:i w:val="1"/>
          <w:iCs w:val="1"/>
          <w:color w:val="auto"/>
        </w:rPr>
        <w:t>. If approved, specific conditions will be placed on the transaction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(e.g., requirement to liquidate all shares within a certain number of days of approval and prior to the New Hire’s start date).</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3. Trades by OFS Funds Directors</w:t>
      </w:r>
    </w:p>
    <w:p>
      <w:pPr>
        <w:spacing w:after="0" w:line="1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OFS Funds Directors are prohibited from trading any OFS Funds Portfolio Security.</w:t>
      </w:r>
    </w:p>
    <w:p>
      <w:pPr>
        <w:spacing w:after="0" w:line="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4. Trades of OFS Funds Securities or other Affiliated Securities</w:t>
      </w:r>
    </w:p>
    <w:p>
      <w:pPr>
        <w:spacing w:after="0" w:line="156" w:lineRule="exact"/>
        <w:rPr>
          <w:sz w:val="20"/>
          <w:szCs w:val="20"/>
          <w:color w:val="auto"/>
        </w:rPr>
      </w:pPr>
    </w:p>
    <w:p>
      <w:pPr>
        <w:jc w:val="both"/>
        <w:ind w:firstLine="688"/>
        <w:spacing w:after="0" w:line="238" w:lineRule="auto"/>
        <w:rPr>
          <w:sz w:val="20"/>
          <w:szCs w:val="20"/>
          <w:color w:val="auto"/>
        </w:rPr>
      </w:pPr>
      <w:r>
        <w:rPr>
          <w:rFonts w:ascii="Times New Roman" w:cs="Times New Roman" w:eastAsia="Times New Roman" w:hAnsi="Times New Roman"/>
          <w:sz w:val="22"/>
          <w:szCs w:val="22"/>
          <w:color w:val="auto"/>
        </w:rPr>
        <w:t>No Access Person or their Related Person may, for direct or indirect personal benefit, donate or transact in an affiliated security, including, but not limited to, OFS Funds, CIM Real Assets and Credit Fund, Creative Media &amp; Community Trust Corporation (CMCT) and CIM Real Estate Finance Trust, Inc. (CMFT), without obtaining pre-clearance from Compliance. Pre-clearance requests should be submitted through the Firm’s compliance portal Approval will generally be granted only during an open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-21-</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04" w:right="899" w:bottom="1440" w:gutter="0" w:footer="0" w:header="0"/>
        </w:sectPr>
      </w:pPr>
    </w:p>
    <w:bookmarkStart w:id="89" w:name="page90"/>
    <w:bookmarkEnd w:id="89"/>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2403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5">
                      <a:extLst>
                        <a:ext uri="{28A0092B-C50C-407E-A947-70E740481C1C}"/>
                      </a:extLst>
                    </a:blip>
                    <a:srcRect/>
                    <a:stretch>
                      <a:fillRect/>
                    </a:stretch>
                  </pic:blipFill>
                  <pic:spPr bwMode="auto">
                    <a:xfrm>
                      <a:off x="0" y="0"/>
                      <a:ext cx="7136130" cy="8240395"/>
                    </a:xfrm>
                    <a:prstGeom prst="rect">
                      <a:avLst/>
                    </a:prstGeom>
                    <a:noFill/>
                  </pic:spPr>
                </pic:pic>
              </a:graphicData>
            </a:graphic>
          </wp:anchor>
        </w:drawing>
      </w:r>
    </w:p>
    <w:p>
      <w:pPr>
        <w:jc w:val="both"/>
        <w:ind w:left="33"/>
        <w:spacing w:after="0" w:line="239" w:lineRule="auto"/>
        <w:rPr>
          <w:sz w:val="20"/>
          <w:szCs w:val="20"/>
          <w:color w:val="auto"/>
        </w:rPr>
      </w:pPr>
      <w:r>
        <w:rPr>
          <w:rFonts w:ascii="Times New Roman" w:cs="Times New Roman" w:eastAsia="Times New Roman" w:hAnsi="Times New Roman"/>
          <w:sz w:val="22"/>
          <w:szCs w:val="22"/>
          <w:color w:val="auto"/>
        </w:rPr>
        <w:t xml:space="preserve">trading window. All approved transactions or contributions must be completed by the next market close following the approval, unless explicitly extended or revoked by a Compliance Officer. If the approved transaction is not completed by the close of market trading on the approval date, the Access Person must submit a new pre-clearance request through the Firm’s compliance portal </w:t>
      </w:r>
      <w:r>
        <w:rPr>
          <w:rFonts w:ascii="Times New Roman" w:cs="Times New Roman" w:eastAsia="Times New Roman" w:hAnsi="Times New Roman"/>
          <w:sz w:val="22"/>
          <w:szCs w:val="22"/>
          <w:u w:val="single" w:color="auto"/>
          <w:color w:val="auto"/>
        </w:rPr>
        <w:t>prior to</w:t>
      </w:r>
      <w:r>
        <w:rPr>
          <w:rFonts w:ascii="Times New Roman" w:cs="Times New Roman" w:eastAsia="Times New Roman" w:hAnsi="Times New Roman"/>
          <w:sz w:val="22"/>
          <w:szCs w:val="22"/>
          <w:color w:val="auto"/>
        </w:rPr>
        <w:t xml:space="preserve"> the close of any applicable trading window.</w:t>
      </w:r>
    </w:p>
    <w:p>
      <w:pPr>
        <w:spacing w:after="0" w:line="68" w:lineRule="exact"/>
        <w:rPr>
          <w:sz w:val="20"/>
          <w:szCs w:val="20"/>
          <w:color w:val="auto"/>
        </w:rPr>
      </w:pPr>
    </w:p>
    <w:p>
      <w:pPr>
        <w:ind w:left="593"/>
        <w:spacing w:after="0"/>
        <w:rPr>
          <w:sz w:val="20"/>
          <w:szCs w:val="20"/>
          <w:color w:val="auto"/>
        </w:rPr>
      </w:pPr>
      <w:r>
        <w:rPr>
          <w:rFonts w:ascii="Times New Roman" w:cs="Times New Roman" w:eastAsia="Times New Roman" w:hAnsi="Times New Roman"/>
          <w:sz w:val="22"/>
          <w:szCs w:val="22"/>
          <w:b w:val="1"/>
          <w:bCs w:val="1"/>
          <w:color w:val="auto"/>
        </w:rPr>
        <w:t>5. Trades by Access Persons Serving on Company Boards</w:t>
      </w:r>
    </w:p>
    <w:p>
      <w:pPr>
        <w:spacing w:after="0" w:line="156" w:lineRule="exact"/>
        <w:rPr>
          <w:sz w:val="20"/>
          <w:szCs w:val="20"/>
          <w:color w:val="auto"/>
        </w:rPr>
      </w:pPr>
    </w:p>
    <w:p>
      <w:pPr>
        <w:jc w:val="both"/>
        <w:ind w:left="33" w:firstLine="688"/>
        <w:spacing w:after="0" w:line="234" w:lineRule="auto"/>
        <w:rPr>
          <w:sz w:val="20"/>
          <w:szCs w:val="20"/>
          <w:color w:val="auto"/>
        </w:rPr>
      </w:pPr>
      <w:r>
        <w:rPr>
          <w:rFonts w:ascii="Times New Roman" w:cs="Times New Roman" w:eastAsia="Times New Roman" w:hAnsi="Times New Roman"/>
          <w:sz w:val="22"/>
          <w:szCs w:val="22"/>
          <w:color w:val="auto"/>
        </w:rPr>
        <w:t>Affiliated companies for which Access Persons serve on the board of directors may permit members of its board of directors to purchase or sell stock based on a predetermined schedule (such as a Rule 10b5- 1 Plan7) that is approved by the company (“Predetermined Schedule”). Personal Securities Trades made in accordance with a Predetermined Schedule by Access Persons who serve on the board of directors of such companies are exempt from the restriction against trading in Securities added to the Restricted List after the adoption of the Predetermined Schedule, however such Predetermined Schedules must be provided to Compliance prior to any transaction conducted pursuant to the relevant Predetermined Schedule. Such transactions are also subject to the reporting requirements set forth in Section B Preclearance and Reporting Requirements. Further, purchases and sales of Securities by such company’s directors during an established trading window may be permitted with prior notice to, and at the discretion of, a Compliance Officer.</w:t>
      </w:r>
    </w:p>
    <w:p>
      <w:pPr>
        <w:spacing w:after="0" w:line="67" w:lineRule="exact"/>
        <w:rPr>
          <w:sz w:val="20"/>
          <w:szCs w:val="20"/>
          <w:color w:val="auto"/>
        </w:rPr>
      </w:pPr>
    </w:p>
    <w:p>
      <w:pPr>
        <w:ind w:left="593"/>
        <w:spacing w:after="0"/>
        <w:rPr>
          <w:sz w:val="20"/>
          <w:szCs w:val="20"/>
          <w:color w:val="auto"/>
        </w:rPr>
      </w:pPr>
      <w:r>
        <w:rPr>
          <w:rFonts w:ascii="Times New Roman" w:cs="Times New Roman" w:eastAsia="Times New Roman" w:hAnsi="Times New Roman"/>
          <w:sz w:val="22"/>
          <w:szCs w:val="22"/>
          <w:b w:val="1"/>
          <w:bCs w:val="1"/>
          <w:color w:val="auto"/>
        </w:rPr>
        <w:t>6. No Personal Trades Through OFS Adviser’s Traders</w:t>
      </w:r>
    </w:p>
    <w:p>
      <w:pPr>
        <w:spacing w:after="0" w:line="156" w:lineRule="exact"/>
        <w:rPr>
          <w:sz w:val="20"/>
          <w:szCs w:val="20"/>
          <w:color w:val="auto"/>
        </w:rPr>
      </w:pPr>
    </w:p>
    <w:p>
      <w:pPr>
        <w:ind w:left="713"/>
        <w:spacing w:after="0"/>
        <w:rPr>
          <w:sz w:val="20"/>
          <w:szCs w:val="20"/>
          <w:color w:val="auto"/>
        </w:rPr>
      </w:pPr>
      <w:r>
        <w:rPr>
          <w:rFonts w:ascii="Times New Roman" w:cs="Times New Roman" w:eastAsia="Times New Roman" w:hAnsi="Times New Roman"/>
          <w:sz w:val="22"/>
          <w:szCs w:val="22"/>
          <w:color w:val="auto"/>
        </w:rPr>
        <w:t>No Personal Securities Trades may be effected through OFS Adviser’s trading personnel.</w:t>
      </w:r>
    </w:p>
    <w:p>
      <w:pPr>
        <w:spacing w:after="0" w:line="94" w:lineRule="exact"/>
        <w:rPr>
          <w:sz w:val="20"/>
          <w:szCs w:val="20"/>
          <w:color w:val="auto"/>
        </w:rPr>
      </w:pPr>
    </w:p>
    <w:p>
      <w:pPr>
        <w:ind w:left="593"/>
        <w:spacing w:after="0"/>
        <w:rPr>
          <w:sz w:val="20"/>
          <w:szCs w:val="20"/>
          <w:color w:val="auto"/>
        </w:rPr>
      </w:pPr>
      <w:r>
        <w:rPr>
          <w:rFonts w:ascii="Times New Roman" w:cs="Times New Roman" w:eastAsia="Times New Roman" w:hAnsi="Times New Roman"/>
          <w:sz w:val="22"/>
          <w:szCs w:val="22"/>
          <w:b w:val="1"/>
          <w:bCs w:val="1"/>
          <w:color w:val="auto"/>
        </w:rPr>
        <w:t>7. Use of Brokerage for Personal or Family Benefit</w:t>
      </w:r>
    </w:p>
    <w:p>
      <w:pPr>
        <w:spacing w:after="0" w:line="156" w:lineRule="exact"/>
        <w:rPr>
          <w:sz w:val="20"/>
          <w:szCs w:val="20"/>
          <w:color w:val="auto"/>
        </w:rPr>
      </w:pPr>
    </w:p>
    <w:p>
      <w:pPr>
        <w:jc w:val="both"/>
        <w:ind w:left="33" w:firstLine="688"/>
        <w:spacing w:after="0" w:line="244" w:lineRule="auto"/>
        <w:rPr>
          <w:sz w:val="20"/>
          <w:szCs w:val="20"/>
          <w:color w:val="auto"/>
        </w:rPr>
      </w:pPr>
      <w:r>
        <w:rPr>
          <w:rFonts w:ascii="Times New Roman" w:cs="Times New Roman" w:eastAsia="Times New Roman" w:hAnsi="Times New Roman"/>
          <w:sz w:val="22"/>
          <w:szCs w:val="22"/>
          <w:color w:val="auto"/>
        </w:rPr>
        <w:t>No Access Person may, for direct or indirect personal or a Related Persons benefit, execute a trade with a broker by using the influence (actual or implied) of OFS Adviser or any Access Person’s influence (actual or implied) with OFS Adviser.</w:t>
      </w:r>
    </w:p>
    <w:p>
      <w:pPr>
        <w:spacing w:after="0" w:line="61" w:lineRule="exact"/>
        <w:rPr>
          <w:sz w:val="20"/>
          <w:szCs w:val="20"/>
          <w:color w:val="auto"/>
        </w:rPr>
      </w:pPr>
    </w:p>
    <w:p>
      <w:pPr>
        <w:ind w:left="593"/>
        <w:spacing w:after="0"/>
        <w:rPr>
          <w:sz w:val="20"/>
          <w:szCs w:val="20"/>
          <w:color w:val="auto"/>
        </w:rPr>
      </w:pPr>
      <w:r>
        <w:rPr>
          <w:rFonts w:ascii="Times New Roman" w:cs="Times New Roman" w:eastAsia="Times New Roman" w:hAnsi="Times New Roman"/>
          <w:sz w:val="22"/>
          <w:szCs w:val="22"/>
          <w:b w:val="1"/>
          <w:bCs w:val="1"/>
          <w:color w:val="auto"/>
        </w:rPr>
        <w:t>8. Short Sale Transactions</w:t>
      </w:r>
    </w:p>
    <w:p>
      <w:pPr>
        <w:spacing w:after="0" w:line="156" w:lineRule="exact"/>
        <w:rPr>
          <w:sz w:val="20"/>
          <w:szCs w:val="20"/>
          <w:color w:val="auto"/>
        </w:rPr>
      </w:pPr>
    </w:p>
    <w:p>
      <w:pPr>
        <w:jc w:val="both"/>
        <w:ind w:left="33" w:firstLine="688"/>
        <w:spacing w:after="0" w:line="238" w:lineRule="auto"/>
        <w:rPr>
          <w:sz w:val="20"/>
          <w:szCs w:val="20"/>
          <w:color w:val="auto"/>
        </w:rPr>
      </w:pPr>
      <w:r>
        <w:rPr>
          <w:rFonts w:ascii="Times New Roman" w:cs="Times New Roman" w:eastAsia="Times New Roman" w:hAnsi="Times New Roman"/>
          <w:sz w:val="22"/>
          <w:szCs w:val="22"/>
          <w:color w:val="auto"/>
        </w:rPr>
        <w:t>No Access Person or Related Person may enter into a short sale transaction or any transaction that has the same economic effect (e.g., inverse single stock ETF, short common stock, purchase a put option or sell a naked call option) on any Security of an issuer for which a position is held long by an Advisory Client. Before Access Persons or their Related Person makes a short sale transaction, the Access Person must submit a pre-clearance request through the Fim’s compliance portal to engage in a short transaction on a Security.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33" w:right="20" w:hanging="33"/>
        <w:spacing w:after="0" w:line="187" w:lineRule="auto"/>
        <w:tabs>
          <w:tab w:leader="none" w:pos="132" w:val="left"/>
        </w:tabs>
        <w:numPr>
          <w:ilvl w:val="0"/>
          <w:numId w:val="6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A Rule 10b5-1 plan is a written plan for trading Securities that is designed in accordance with Rule 105-1(c). Any person executing pre-planned transactions pursuant to a Rule 10b5-1 plan that was established in good faith at a time when that person was unaware of material nonpublic information has an affirmative defense against accusations of insider trading, even if actual trades made pursuant to the plan are executed at a time when the individual may be aware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22"/>
          <w:szCs w:val="22"/>
          <w:color w:val="auto"/>
        </w:rPr>
        <w:t>Page -22-</w:t>
      </w:r>
    </w:p>
    <w:p>
      <w:pPr>
        <w:spacing w:after="0" w:line="44"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812800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3"/>
          </w:cols>
          <w:pgMar w:left="867" w:top="1440" w:right="899" w:bottom="1440" w:gutter="0" w:footer="0" w:header="0"/>
        </w:sectPr>
      </w:pPr>
    </w:p>
    <w:bookmarkStart w:id="90" w:name="page91"/>
    <w:bookmarkEnd w:id="90"/>
    <w:p>
      <w:pPr>
        <w:ind w:left="56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7428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7">
                      <a:extLst>
                        <a:ext uri="{28A0092B-C50C-407E-A947-70E740481C1C}"/>
                      </a:extLst>
                    </a:blip>
                    <a:srcRect/>
                    <a:stretch>
                      <a:fillRect/>
                    </a:stretch>
                  </pic:blipFill>
                  <pic:spPr bwMode="auto">
                    <a:xfrm>
                      <a:off x="0" y="0"/>
                      <a:ext cx="7136130" cy="4742815"/>
                    </a:xfrm>
                    <a:prstGeom prst="rect">
                      <a:avLst/>
                    </a:prstGeom>
                    <a:noFill/>
                  </pic:spPr>
                </pic:pic>
              </a:graphicData>
            </a:graphic>
          </wp:anchor>
        </w:drawing>
        <w:t>9. Acquiring Five (5) Percent or more of a Publicly Traded Company</w:t>
      </w:r>
    </w:p>
    <w:p>
      <w:pPr>
        <w:spacing w:after="0" w:line="102" w:lineRule="exact"/>
        <w:rPr>
          <w:sz w:val="20"/>
          <w:szCs w:val="20"/>
          <w:color w:val="auto"/>
        </w:rPr>
      </w:pPr>
    </w:p>
    <w:p>
      <w:pPr>
        <w:jc w:val="both"/>
        <w:ind w:left="9" w:firstLine="688"/>
        <w:spacing w:after="0" w:line="244" w:lineRule="auto"/>
        <w:rPr>
          <w:sz w:val="20"/>
          <w:szCs w:val="20"/>
          <w:color w:val="auto"/>
        </w:rPr>
      </w:pPr>
      <w:r>
        <w:rPr>
          <w:rFonts w:ascii="Times New Roman" w:cs="Times New Roman" w:eastAsia="Times New Roman" w:hAnsi="Times New Roman"/>
          <w:sz w:val="22"/>
          <w:szCs w:val="22"/>
          <w:color w:val="auto"/>
        </w:rPr>
        <w:t>Access Persons are required to report to a Compliance Officer, via the Firm’s compliance portal, any ownership exceeding 5% of a class of equity securities of a publicly traded company that they or their Related Persons or Family Members have a beneficial interest in.</w:t>
      </w:r>
    </w:p>
    <w:p>
      <w:pPr>
        <w:spacing w:after="0" w:line="61" w:lineRule="exact"/>
        <w:rPr>
          <w:sz w:val="20"/>
          <w:szCs w:val="20"/>
          <w:color w:val="auto"/>
        </w:rPr>
      </w:pPr>
    </w:p>
    <w:p>
      <w:pPr>
        <w:ind w:left="689" w:hanging="689"/>
        <w:spacing w:after="0"/>
        <w:tabs>
          <w:tab w:leader="none" w:pos="689"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REQUIREMENTS OF OFS FUNDS DISINTERESTED DIRECTORS</w:t>
      </w:r>
    </w:p>
    <w:p>
      <w:pPr>
        <w:spacing w:after="0" w:line="210" w:lineRule="exact"/>
        <w:rPr>
          <w:sz w:val="20"/>
          <w:szCs w:val="20"/>
          <w:color w:val="auto"/>
        </w:rPr>
      </w:pPr>
    </w:p>
    <w:p>
      <w:pPr>
        <w:jc w:val="both"/>
        <w:ind w:left="9" w:firstLine="688"/>
        <w:spacing w:after="0" w:line="235" w:lineRule="auto"/>
        <w:rPr>
          <w:sz w:val="20"/>
          <w:szCs w:val="20"/>
          <w:color w:val="auto"/>
        </w:rPr>
      </w:pPr>
      <w:r>
        <w:rPr>
          <w:rFonts w:ascii="Times New Roman" w:cs="Times New Roman" w:eastAsia="Times New Roman" w:hAnsi="Times New Roman"/>
          <w:sz w:val="22"/>
          <w:szCs w:val="22"/>
          <w:color w:val="auto"/>
        </w:rPr>
        <w:t>The Recordkeeping, Reporting, and Statement of Restrictions provisions listed above (except those in Section II(C)(5-6) do not apply to any OFS Fund Director who is not an interested person of any OFS Fund within the meaning of Section 2(a)(19) of the Company Act (“Disinterested Directors”) of each of the OFS Funds, except as the following describes. A Disinterested Director need only report a transaction if, at the time of a Personal Securities Trade in a Reportable Security, the Disinterested Director knew, or, in the ordinary course of fulfilling his or her duties as a director, should have known that during the fifteen (15) day period immediately preceding or after the date of the transaction, their OFS Fund purchased or sold the Security or the Security was Being Considered for Purchase or Sale by their OFS Fund or OFS Adviser.</w:t>
      </w:r>
    </w:p>
    <w:p>
      <w:pPr>
        <w:spacing w:after="0" w:line="200" w:lineRule="exact"/>
        <w:rPr>
          <w:sz w:val="20"/>
          <w:szCs w:val="20"/>
          <w:color w:val="auto"/>
        </w:rPr>
      </w:pPr>
    </w:p>
    <w:p>
      <w:pPr>
        <w:spacing w:after="0" w:line="3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-23-</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04" w:right="899" w:bottom="1440" w:gutter="0" w:footer="0" w:header="0"/>
        </w:sectPr>
      </w:pPr>
    </w:p>
    <w:bookmarkStart w:id="91" w:name="page92"/>
    <w:bookmarkEnd w:id="9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0999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9">
                      <a:extLst>
                        <a:ext uri="{28A0092B-C50C-407E-A947-70E740481C1C}"/>
                      </a:extLst>
                    </a:blip>
                    <a:srcRect/>
                    <a:stretch>
                      <a:fillRect/>
                    </a:stretch>
                  </pic:blipFill>
                  <pic:spPr bwMode="auto">
                    <a:xfrm>
                      <a:off x="0" y="0"/>
                      <a:ext cx="7136130" cy="7099935"/>
                    </a:xfrm>
                    <a:prstGeom prst="rect">
                      <a:avLst/>
                    </a:prstGeom>
                    <a:noFill/>
                  </pic:spPr>
                </pic:pic>
              </a:graphicData>
            </a:graphic>
          </wp:anchor>
        </w:drawing>
      </w:r>
    </w:p>
    <w:p>
      <w:pPr>
        <w:ind w:left="3399" w:hanging="687"/>
        <w:spacing w:after="0"/>
        <w:tabs>
          <w:tab w:leader="none" w:pos="3399"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INSIDE INFORMATION POLICY</w:t>
      </w:r>
    </w:p>
    <w:p>
      <w:pPr>
        <w:spacing w:after="0" w:line="200" w:lineRule="exact"/>
        <w:rPr>
          <w:sz w:val="20"/>
          <w:szCs w:val="20"/>
          <w:color w:val="auto"/>
        </w:rPr>
      </w:pPr>
    </w:p>
    <w:p>
      <w:pPr>
        <w:spacing w:after="0" w:line="290" w:lineRule="exact"/>
        <w:rPr>
          <w:sz w:val="20"/>
          <w:szCs w:val="20"/>
          <w:color w:val="auto"/>
        </w:rPr>
      </w:pPr>
    </w:p>
    <w:p>
      <w:pPr>
        <w:ind w:left="799" w:hanging="689"/>
        <w:spacing w:after="0"/>
        <w:tabs>
          <w:tab w:leader="none" w:pos="799"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102" w:lineRule="exact"/>
        <w:rPr>
          <w:sz w:val="20"/>
          <w:szCs w:val="20"/>
          <w:color w:val="auto"/>
        </w:rPr>
      </w:pPr>
    </w:p>
    <w:p>
      <w:pPr>
        <w:jc w:val="both"/>
        <w:ind w:left="119" w:firstLine="688"/>
        <w:spacing w:after="0" w:line="234" w:lineRule="auto"/>
        <w:rPr>
          <w:sz w:val="20"/>
          <w:szCs w:val="20"/>
          <w:color w:val="auto"/>
        </w:rPr>
      </w:pPr>
      <w:r>
        <w:rPr>
          <w:rFonts w:ascii="Times New Roman" w:cs="Times New Roman" w:eastAsia="Times New Roman" w:hAnsi="Times New Roman"/>
          <w:sz w:val="22"/>
          <w:szCs w:val="22"/>
          <w:color w:val="auto"/>
        </w:rPr>
        <w:t>The prohibitions against insider trading set forth in the federal securities laws play an essential role in maintaining the fairness, health, and integrity of our markets. These laws also establish fundamental standards of business conduct that govern our daily activities and help to ensure that Advisory Client’s trust and confidence are not compromised in any way. Consistent with these principles, OFS Adviser forbids any Supervised Person from (i) trading Securities for the Firm, any Advisory Client or any account in which a Supervised Person has a Beneficial Interest, if that Supervised Person is “aware” of material and nonpublic information (“MNPI” or “Inside Information”) concerning an issuer; or (ii) communicating MNPI to others in violation of the law. This conduct is frequently referred to as “insider trading.” This policy applies to all Supervised Persons and extends to activities within and outside of each Supervised Person’s duties at OFS Adviser or with any OFS Fund.</w:t>
      </w:r>
    </w:p>
    <w:p>
      <w:pPr>
        <w:spacing w:after="0" w:line="75" w:lineRule="exact"/>
        <w:rPr>
          <w:sz w:val="20"/>
          <w:szCs w:val="20"/>
          <w:color w:val="auto"/>
        </w:rPr>
      </w:pPr>
    </w:p>
    <w:p>
      <w:pPr>
        <w:jc w:val="both"/>
        <w:ind w:left="119" w:firstLine="688"/>
        <w:spacing w:after="0" w:line="229" w:lineRule="auto"/>
        <w:rPr>
          <w:sz w:val="20"/>
          <w:szCs w:val="20"/>
          <w:color w:val="auto"/>
        </w:rPr>
      </w:pPr>
      <w:r>
        <w:rPr>
          <w:rFonts w:ascii="Times New Roman" w:cs="Times New Roman" w:eastAsia="Times New Roman" w:hAnsi="Times New Roman"/>
          <w:sz w:val="22"/>
          <w:szCs w:val="22"/>
          <w:color w:val="auto"/>
        </w:rPr>
        <w:t>The term “insider trading” is not specifically defined under the federal securities laws (most guidance in this area can be found under case law and related judicial decisions), but generally is used to refer to improper trading in Securities</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on the basis</w:t>
      </w:r>
      <w:r>
        <w:rPr>
          <w:rFonts w:ascii="Times New Roman" w:cs="Times New Roman" w:eastAsia="Times New Roman" w:hAnsi="Times New Roman"/>
          <w:sz w:val="22"/>
          <w:szCs w:val="22"/>
          <w:color w:val="auto"/>
        </w:rPr>
        <w:t xml:space="preserve"> of MNPI (whether or not the person trading is an insider). A person is generally deemed to trade “on the basis of MNPI if that person is aware of MNPI when making the purchase or sale, regardless of whether the person specifically relied on the information in making an investment decision. It is generally understood that the law prohibits trading by an insider on the basis of MNPI about the Security or issuer. To be held liable under the law, the person trading generally must violate a duty of trust or confidence owed directly, indirectly or derivatively to the issuer of that Security or the shareholders of that issuer, or to any other person who is the source of the material nonpublic information (e.g., an employer). This includes trading in a Security based on advance non-public information on an anticipated Advisory Client trade in the Security contemplated for personal trading, known as “front running”. The law also prohibits the communication of inside information to others and provides for penalties and punitive damages against the “tipper” even if he or she does not gain personally from the improper trading.</w:t>
      </w:r>
    </w:p>
    <w:p>
      <w:pPr>
        <w:spacing w:after="0" w:line="284" w:lineRule="exact"/>
        <w:rPr>
          <w:sz w:val="20"/>
          <w:szCs w:val="20"/>
          <w:color w:val="auto"/>
        </w:rPr>
      </w:pPr>
    </w:p>
    <w:p>
      <w:pPr>
        <w:jc w:val="both"/>
        <w:ind w:left="-1" w:right="80" w:firstLine="1"/>
        <w:spacing w:after="0" w:line="205" w:lineRule="auto"/>
        <w:tabs>
          <w:tab w:leader="none" w:pos="105" w:val="left"/>
        </w:tabs>
        <w:numPr>
          <w:ilvl w:val="0"/>
          <w:numId w:val="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OFS Adviser often transacts in syndicated or other loan interests on the basis of information that is not available to other members of the syndicate, or to the public in general; however, for the limited purpose of this policy, “Securities” (as defined in the Exchange Act) do not include such loan interests or other “evidences of indebtedness.” If you are uncertain as to whether a particular investment is a “security” for purposes of this policy, contact the Legal/Compliance Department</w:t>
      </w:r>
    </w:p>
    <w:p>
      <w:pPr>
        <w:spacing w:after="0" w:line="200" w:lineRule="exact"/>
        <w:rPr>
          <w:sz w:val="20"/>
          <w:szCs w:val="20"/>
          <w:color w:val="auto"/>
        </w:rPr>
      </w:pPr>
    </w:p>
    <w:p>
      <w:pPr>
        <w:spacing w:after="0" w:line="216"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2"/>
          <w:szCs w:val="22"/>
          <w:color w:val="auto"/>
        </w:rPr>
        <w:t>Page -24-</w:t>
      </w:r>
    </w:p>
    <w:p>
      <w:pPr>
        <w:spacing w:after="0" w:line="44"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812800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9"/>
          </w:cols>
          <w:pgMar w:left="781" w:top="1440" w:right="899" w:bottom="1440" w:gutter="0" w:footer="0" w:header="0"/>
        </w:sectPr>
      </w:pPr>
    </w:p>
    <w:bookmarkStart w:id="92" w:name="page93"/>
    <w:bookmarkEnd w:id="92"/>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4804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1">
                      <a:extLst>
                        <a:ext uri="{28A0092B-C50C-407E-A947-70E740481C1C}"/>
                      </a:extLst>
                    </a:blip>
                    <a:srcRect/>
                    <a:stretch>
                      <a:fillRect/>
                    </a:stretch>
                  </pic:blipFill>
                  <pic:spPr bwMode="auto">
                    <a:xfrm>
                      <a:off x="0" y="0"/>
                      <a:ext cx="7136130" cy="8480425"/>
                    </a:xfrm>
                    <a:prstGeom prst="rect">
                      <a:avLst/>
                    </a:prstGeom>
                    <a:noFill/>
                  </pic:spPr>
                </pic:pic>
              </a:graphicData>
            </a:graphic>
          </wp:anchor>
        </w:drawing>
      </w:r>
    </w:p>
    <w:p>
      <w:pPr>
        <w:ind w:left="689" w:hanging="689"/>
        <w:spacing w:after="0"/>
        <w:tabs>
          <w:tab w:leader="none" w:pos="689"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KEY TERMS</w:t>
      </w:r>
    </w:p>
    <w:p>
      <w:pPr>
        <w:spacing w:after="0" w:line="206"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22"/>
          <w:szCs w:val="22"/>
          <w:b w:val="1"/>
          <w:bCs w:val="1"/>
          <w:color w:val="auto"/>
        </w:rPr>
        <w:t>1. What is a “Security”?</w:t>
      </w:r>
    </w:p>
    <w:p>
      <w:pPr>
        <w:spacing w:after="0" w:line="156" w:lineRule="exact"/>
        <w:rPr>
          <w:sz w:val="20"/>
          <w:szCs w:val="20"/>
          <w:color w:val="auto"/>
        </w:rPr>
      </w:pPr>
    </w:p>
    <w:p>
      <w:pPr>
        <w:jc w:val="both"/>
        <w:ind w:left="9" w:firstLine="688"/>
        <w:spacing w:after="0" w:line="227" w:lineRule="auto"/>
        <w:rPr>
          <w:sz w:val="20"/>
          <w:szCs w:val="20"/>
          <w:color w:val="auto"/>
        </w:rPr>
      </w:pPr>
      <w:r>
        <w:rPr>
          <w:rFonts w:ascii="Times New Roman" w:cs="Times New Roman" w:eastAsia="Times New Roman" w:hAnsi="Times New Roman"/>
          <w:sz w:val="22"/>
          <w:szCs w:val="22"/>
          <w:color w:val="auto"/>
        </w:rPr>
        <w:t>The Exchange Act, which covers insider trading, defines “Security” very broadly to include most types of financial instruments,</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22"/>
          <w:szCs w:val="22"/>
          <w:color w:val="auto"/>
        </w:rPr>
        <w:t xml:space="preserve"> except bank debt</w:t>
      </w:r>
      <w:r>
        <w:rPr>
          <w:rFonts w:ascii="Times New Roman" w:cs="Times New Roman" w:eastAsia="Times New Roman" w:hAnsi="Times New Roman"/>
          <w:sz w:val="28"/>
          <w:szCs w:val="28"/>
          <w:color w:val="auto"/>
          <w:vertAlign w:val="superscript"/>
        </w:rPr>
        <w:t>10</w:t>
      </w:r>
      <w:r>
        <w:rPr>
          <w:rFonts w:ascii="Times New Roman" w:cs="Times New Roman" w:eastAsia="Times New Roman" w:hAnsi="Times New Roman"/>
          <w:sz w:val="22"/>
          <w:szCs w:val="22"/>
          <w:color w:val="auto"/>
        </w:rPr>
        <w:t>. There may be instances where Supervised Persons receive information about such investments that is not generally known by other institutional investors - even those institutional investors who may be similarly situated (e.g., lenders that are privy to nonpublic information and have access to bank-level information or primary lender meetings). Although trading in “non-security” investments on the basis of nonpublic information is not prohibited by federal securities laws, such trading may be prohibited by fiduciary obligations, other federal or state statutes, or contractual obligations such as confidentiality agreements</w:t>
      </w:r>
      <w:r>
        <w:rPr>
          <w:rFonts w:ascii="Times New Roman" w:cs="Times New Roman" w:eastAsia="Times New Roman" w:hAnsi="Times New Roman"/>
          <w:sz w:val="28"/>
          <w:szCs w:val="28"/>
          <w:color w:val="auto"/>
          <w:vertAlign w:val="superscript"/>
        </w:rPr>
        <w:t>11</w:t>
      </w:r>
      <w:r>
        <w:rPr>
          <w:rFonts w:ascii="Times New Roman" w:cs="Times New Roman" w:eastAsia="Times New Roman" w:hAnsi="Times New Roman"/>
          <w:sz w:val="22"/>
          <w:szCs w:val="22"/>
          <w:color w:val="auto"/>
        </w:rPr>
        <w:t>. In situations where OFS Adviser has access to MNPI to which other potential investors/counterparties may not have access, Supervised Persons should consult with a Compliance Officer or Senior Management, as appropriate, as to whether a proposed purchase or sale of an investment should be made, and, if made, should include the use of a “Big Boy” letter (see the Firm’s Confidentiality Policy), a confidentiality agreement (see the Firm’s Confidentiality Policy), or, if the investment is a syndicated loan, the execution by OFS Adviser of the standard LSTA form, which includes disclosure concerning the possibility of access to such information. In addition, even if trading in a “non-security” investment is permissible because the above standards are met, Supervised Persons are still prohibited from trading in any Securities issued by the relevant borrower, either for an Advisory Client or themselves, if the information obtained would be material with respect to the Securities transaction. This would also include indirect participation in such a transaction; for example, by participating in an Investment Committee meeting in which a decision regarding such Securities was being considered.</w:t>
      </w:r>
    </w:p>
    <w:p>
      <w:pPr>
        <w:spacing w:after="0" w:line="68"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22"/>
          <w:szCs w:val="22"/>
          <w:b w:val="1"/>
          <w:bCs w:val="1"/>
          <w:color w:val="auto"/>
        </w:rPr>
        <w:t>2. Who is an Insider?</w:t>
      </w:r>
    </w:p>
    <w:p>
      <w:pPr>
        <w:spacing w:after="0" w:line="156" w:lineRule="exact"/>
        <w:rPr>
          <w:sz w:val="20"/>
          <w:szCs w:val="20"/>
          <w:color w:val="auto"/>
        </w:rPr>
      </w:pPr>
    </w:p>
    <w:p>
      <w:pPr>
        <w:jc w:val="both"/>
        <w:ind w:left="9" w:right="20" w:firstLine="688"/>
        <w:spacing w:after="0" w:line="258" w:lineRule="auto"/>
        <w:rPr>
          <w:sz w:val="20"/>
          <w:szCs w:val="20"/>
          <w:color w:val="auto"/>
        </w:rPr>
      </w:pPr>
      <w:r>
        <w:rPr>
          <w:rFonts w:ascii="Times New Roman" w:cs="Times New Roman" w:eastAsia="Times New Roman" w:hAnsi="Times New Roman"/>
          <w:sz w:val="22"/>
          <w:szCs w:val="22"/>
          <w:color w:val="auto"/>
        </w:rPr>
        <w:t>The concept of an “insider” is broad. It includes officers, directors, and employees of a company. In addition, a person can be a “temporary insider” if he or she enters into a special confidential</w:t>
      </w:r>
    </w:p>
    <w:p>
      <w:pPr>
        <w:spacing w:after="0" w:line="257" w:lineRule="exact"/>
        <w:rPr>
          <w:sz w:val="20"/>
          <w:szCs w:val="20"/>
          <w:color w:val="auto"/>
        </w:rPr>
      </w:pPr>
    </w:p>
    <w:p>
      <w:pPr>
        <w:jc w:val="both"/>
        <w:ind w:left="429" w:hanging="426"/>
        <w:spacing w:after="0" w:line="214" w:lineRule="auto"/>
        <w:tabs>
          <w:tab w:leader="none" w:pos="406" w:val="left"/>
        </w:tabs>
        <w:numPr>
          <w:ilvl w:val="0"/>
          <w:numId w:val="7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For purposes of the Inside Information Policy, “Security” means any note, stock, treasury stock, security feature, security-based swap, bond, debenture, certificate of interest or participation in any profit-sharing agreement or in any oil, gas, or other mineral royalty or lease, any collateral- trust certificate, preorganization certificate or subscription, transferable share, investment contract, voting-trust certificate, certificate of deposit for a security, any put, call, straddle, option, or privilege on any security, certificate of deposit, or group or index of securities (including any interest therein or based on the value thereof), or any put, call, straddle, option, or privilege entered into on a national securities exchange relating to foreign currency, or in general, any instrument commonly known as a “security”; or any certificate of interest or participation in, temporary or interim certificate for, receipt for, or warrant or right to subscribe to or purchase, any of the foregoing; but shall not include currency or any note, draft, bill of exchange, or banker's acceptance which has a maturity at the time of issuance of not exceeding nine months, exclusive of days of grace, or any renewal thereof the maturity of which is likewise limited.</w:t>
      </w:r>
    </w:p>
    <w:p>
      <w:pPr>
        <w:spacing w:after="0" w:line="248" w:lineRule="exact"/>
        <w:rPr>
          <w:sz w:val="20"/>
          <w:szCs w:val="20"/>
          <w:color w:val="auto"/>
        </w:rPr>
      </w:pPr>
    </w:p>
    <w:p>
      <w:pPr>
        <w:ind w:left="409" w:hanging="405"/>
        <w:spacing w:after="0" w:line="199" w:lineRule="auto"/>
        <w:tabs>
          <w:tab w:leader="none" w:pos="419" w:val="left"/>
        </w:tabs>
        <w:numPr>
          <w:ilvl w:val="0"/>
          <w:numId w:val="7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Note that, for most purposes, evidences of indebtedness are treated as “securities” for securities law purposes; insider trading prohibitions are an exception to this general rule.</w:t>
      </w:r>
    </w:p>
    <w:p>
      <w:pPr>
        <w:spacing w:after="0" w:line="245" w:lineRule="exact"/>
        <w:rPr>
          <w:rFonts w:ascii="Times New Roman" w:cs="Times New Roman" w:eastAsia="Times New Roman" w:hAnsi="Times New Roman"/>
          <w:sz w:val="24"/>
          <w:szCs w:val="24"/>
          <w:color w:val="auto"/>
          <w:vertAlign w:val="superscript"/>
        </w:rPr>
      </w:pPr>
    </w:p>
    <w:p>
      <w:pPr>
        <w:jc w:val="both"/>
        <w:ind w:left="429" w:hanging="426"/>
        <w:spacing w:after="0"/>
        <w:tabs>
          <w:tab w:leader="none" w:pos="406" w:val="left"/>
        </w:tabs>
        <w:numPr>
          <w:ilvl w:val="0"/>
          <w:numId w:val="7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Compliance Department maintains the Private Company List and Advisory Clients may not transact in these investments unless an exception to the prohibition from trading a security on the Private Company List has been granted by the CCO or his or her designee. Please refer to the Confidentiality Policy for more information.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-25-</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93" w:name="page94"/>
    <w:bookmarkEnd w:id="9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3261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3">
                      <a:extLst>
                        <a:ext uri="{28A0092B-C50C-407E-A947-70E740481C1C}"/>
                      </a:extLst>
                    </a:blip>
                    <a:srcRect/>
                    <a:stretch>
                      <a:fillRect/>
                    </a:stretch>
                  </pic:blipFill>
                  <pic:spPr bwMode="auto">
                    <a:xfrm>
                      <a:off x="0" y="0"/>
                      <a:ext cx="7136130" cy="8326120"/>
                    </a:xfrm>
                    <a:prstGeom prst="rect">
                      <a:avLst/>
                    </a:prstGeom>
                    <a:noFill/>
                  </pic:spPr>
                </pic:pic>
              </a:graphicData>
            </a:graphic>
          </wp:anchor>
        </w:drawing>
      </w:r>
    </w:p>
    <w:p>
      <w:pPr>
        <w:jc w:val="both"/>
        <w:ind w:left="120" w:right="100"/>
        <w:spacing w:after="0" w:line="238" w:lineRule="auto"/>
        <w:rPr>
          <w:sz w:val="20"/>
          <w:szCs w:val="20"/>
          <w:color w:val="auto"/>
        </w:rPr>
      </w:pPr>
      <w:r>
        <w:rPr>
          <w:rFonts w:ascii="Times New Roman" w:cs="Times New Roman" w:eastAsia="Times New Roman" w:hAnsi="Times New Roman"/>
          <w:sz w:val="22"/>
          <w:szCs w:val="22"/>
          <w:color w:val="auto"/>
        </w:rPr>
        <w:t>relationship in the conduct of a company’s affairs and as a result is given access to information solely for the company’s purposes. A temporary insider can include, among others, a company’s attorneys, accountants, consultants, bank lending officers, investment advisers (such as OFS Adviser) and the employees of such organizations. OFS Adviser may become a temporary insider by signing a confidentiality agreement or by accessing material nonpublic information of a public issuer via a private electronic workspace.</w:t>
      </w:r>
    </w:p>
    <w:p>
      <w:pPr>
        <w:spacing w:after="0" w:line="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3. What is Material Information?</w:t>
      </w:r>
    </w:p>
    <w:p>
      <w:pPr>
        <w:spacing w:after="0" w:line="156" w:lineRule="exact"/>
        <w:rPr>
          <w:sz w:val="20"/>
          <w:szCs w:val="20"/>
          <w:color w:val="auto"/>
        </w:rPr>
      </w:pPr>
    </w:p>
    <w:p>
      <w:pPr>
        <w:jc w:val="both"/>
        <w:ind w:left="120" w:right="100" w:firstLine="688"/>
        <w:spacing w:after="0" w:line="239" w:lineRule="auto"/>
        <w:rPr>
          <w:sz w:val="20"/>
          <w:szCs w:val="20"/>
          <w:color w:val="auto"/>
        </w:rPr>
      </w:pPr>
      <w:r>
        <w:rPr>
          <w:rFonts w:ascii="Times New Roman" w:cs="Times New Roman" w:eastAsia="Times New Roman" w:hAnsi="Times New Roman"/>
          <w:sz w:val="22"/>
          <w:szCs w:val="22"/>
          <w:color w:val="auto"/>
        </w:rPr>
        <w:t>Trading on inside information is not a basis for liability unless the information is deemed material. “Material” information generally is defined as information with respect to which there is a substantial likelihood that a reasonable investor would consider it important in making his or her investment decisions, or information that could reasonably be expected to have a substantial effect on the price of a company’s Securities.</w:t>
      </w:r>
    </w:p>
    <w:p>
      <w:pPr>
        <w:spacing w:after="0" w:line="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Among other things, the following types of information are generally regarded as “material”:</w:t>
      </w:r>
    </w:p>
    <w:p>
      <w:pPr>
        <w:spacing w:after="0" w:line="98" w:lineRule="exact"/>
        <w:rPr>
          <w:sz w:val="20"/>
          <w:szCs w:val="20"/>
          <w:color w:val="auto"/>
        </w:rPr>
      </w:pPr>
    </w:p>
    <w:p>
      <w:pPr>
        <w:ind w:left="1840" w:hanging="353"/>
        <w:spacing w:after="0"/>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or earnings announcements</w:t>
      </w:r>
    </w:p>
    <w:p>
      <w:pPr>
        <w:spacing w:after="0" w:line="27" w:lineRule="exact"/>
        <w:rPr>
          <w:rFonts w:ascii="Times New Roman" w:cs="Times New Roman" w:eastAsia="Times New Roman" w:hAnsi="Times New Roman"/>
          <w:sz w:val="22"/>
          <w:szCs w:val="22"/>
          <w:color w:val="auto"/>
        </w:rPr>
      </w:pP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write-downs or write-offs of assets</w:t>
      </w: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additions to reserves for bad debts or contingent liabilities</w:t>
      </w: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expansion or curtailment of company or major division operations</w:t>
      </w: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 joint venture announcements</w:t>
      </w: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product/service/marketing announcements</w:t>
      </w: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supplier/manufacturing/production announcements</w:t>
      </w: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charge/impairment announcements</w:t>
      </w: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senior management changes</w:t>
      </w: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w:t>
      </w: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restatement of previously issued financial statements</w:t>
      </w: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discovery or research developments</w:t>
      </w:r>
    </w:p>
    <w:p>
      <w:pPr>
        <w:ind w:left="1820" w:hanging="333"/>
        <w:spacing w:after="0" w:line="230" w:lineRule="auto"/>
        <w:tabs>
          <w:tab w:leader="none" w:pos="18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indictments and civil and government investigations, litigations and/or settlements</w:t>
      </w: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labor disputes</w:t>
      </w: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service or liquidity problems</w:t>
      </w:r>
    </w:p>
    <w:p>
      <w:pPr>
        <w:ind w:left="1840" w:hanging="353"/>
        <w:spacing w:after="0" w:line="230" w:lineRule="auto"/>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or insolvency problems</w:t>
      </w:r>
    </w:p>
    <w:p>
      <w:pPr>
        <w:ind w:left="1840" w:hanging="353"/>
        <w:spacing w:after="0"/>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tender offers, stock repurchase plans, etc.</w:t>
      </w:r>
    </w:p>
    <w:p>
      <w:pPr>
        <w:spacing w:after="0" w:line="3" w:lineRule="exact"/>
        <w:rPr>
          <w:rFonts w:ascii="Times New Roman" w:cs="Times New Roman" w:eastAsia="Times New Roman" w:hAnsi="Times New Roman"/>
          <w:sz w:val="22"/>
          <w:szCs w:val="22"/>
          <w:color w:val="auto"/>
        </w:rPr>
      </w:pPr>
    </w:p>
    <w:p>
      <w:pPr>
        <w:ind w:left="1840" w:hanging="353"/>
        <w:spacing w:after="0"/>
        <w:tabs>
          <w:tab w:leader="none" w:pos="18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recapitalizations</w:t>
      </w:r>
    </w:p>
    <w:p>
      <w:pPr>
        <w:spacing w:after="0" w:line="317" w:lineRule="exact"/>
        <w:rPr>
          <w:sz w:val="20"/>
          <w:szCs w:val="20"/>
          <w:color w:val="auto"/>
        </w:rPr>
      </w:pPr>
    </w:p>
    <w:p>
      <w:pPr>
        <w:jc w:val="both"/>
        <w:ind w:firstLine="688"/>
        <w:spacing w:after="0" w:line="238" w:lineRule="auto"/>
        <w:rPr>
          <w:sz w:val="20"/>
          <w:szCs w:val="20"/>
          <w:color w:val="auto"/>
        </w:rPr>
      </w:pPr>
      <w:r>
        <w:rPr>
          <w:rFonts w:ascii="Times New Roman" w:cs="Times New Roman" w:eastAsia="Times New Roman" w:hAnsi="Times New Roman"/>
          <w:sz w:val="22"/>
          <w:szCs w:val="22"/>
          <w:color w:val="auto"/>
        </w:rPr>
        <w:t xml:space="preserve">Material information does not have to relate to a company’s business. For example, in </w:t>
      </w:r>
      <w:r>
        <w:rPr>
          <w:rFonts w:ascii="Times New Roman" w:cs="Times New Roman" w:eastAsia="Times New Roman" w:hAnsi="Times New Roman"/>
          <w:sz w:val="22"/>
          <w:szCs w:val="22"/>
          <w:u w:val="single" w:color="auto"/>
          <w:color w:val="auto"/>
        </w:rPr>
        <w:t>Carpenter v. U.S.</w:t>
      </w:r>
      <w:r>
        <w:rPr>
          <w:rFonts w:ascii="Times New Roman" w:cs="Times New Roman" w:eastAsia="Times New Roman" w:hAnsi="Times New Roman"/>
          <w:sz w:val="22"/>
          <w:szCs w:val="22"/>
          <w:color w:val="auto"/>
        </w:rPr>
        <w:t>, 18 U.S. 316 (1987), the Supreme Court considered as material certain information about the contents of a forthcoming newspaper column that was expected to affect the market price of a Security. In that case, a Wall Street Journal reporter was found criminally liable for disclosing to others the dates that reports on various companies would appear in the Journal and whether those reports would be favorable or not.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-26-</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812800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440" w:right="799" w:bottom="1440" w:gutter="0" w:footer="0" w:header="0"/>
        </w:sectPr>
      </w:pPr>
    </w:p>
    <w:bookmarkStart w:id="94" w:name="page95"/>
    <w:bookmarkEnd w:id="94"/>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4289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5">
                      <a:extLst>
                        <a:ext uri="{28A0092B-C50C-407E-A947-70E740481C1C}"/>
                      </a:extLst>
                    </a:blip>
                    <a:srcRect/>
                    <a:stretch>
                      <a:fillRect/>
                    </a:stretch>
                  </pic:blipFill>
                  <pic:spPr bwMode="auto">
                    <a:xfrm>
                      <a:off x="0" y="0"/>
                      <a:ext cx="7136130" cy="842899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22"/>
          <w:szCs w:val="22"/>
          <w:b w:val="1"/>
          <w:bCs w:val="1"/>
          <w:color w:val="auto"/>
        </w:rPr>
        <w:t>4. What is Nonpublic Information?</w:t>
      </w:r>
    </w:p>
    <w:p>
      <w:pPr>
        <w:spacing w:after="0" w:line="156" w:lineRule="exact"/>
        <w:rPr>
          <w:sz w:val="20"/>
          <w:szCs w:val="20"/>
          <w:color w:val="auto"/>
        </w:rPr>
      </w:pPr>
    </w:p>
    <w:p>
      <w:pPr>
        <w:jc w:val="both"/>
        <w:ind w:firstLine="688"/>
        <w:spacing w:after="0" w:line="235" w:lineRule="auto"/>
        <w:rPr>
          <w:sz w:val="20"/>
          <w:szCs w:val="20"/>
          <w:color w:val="auto"/>
        </w:rPr>
      </w:pPr>
      <w:r>
        <w:rPr>
          <w:rFonts w:ascii="Times New Roman" w:cs="Times New Roman" w:eastAsia="Times New Roman" w:hAnsi="Times New Roman"/>
          <w:sz w:val="22"/>
          <w:szCs w:val="22"/>
          <w:color w:val="auto"/>
        </w:rPr>
        <w:t xml:space="preserve">Information is nonpublic until it has been effectively communicated to the marketplace. One must be able to point to some fact to show that the information is generally public. For example, information found in a report filed with the SEC, or appearing in </w:t>
      </w:r>
      <w:r>
        <w:rPr>
          <w:rFonts w:ascii="Times New Roman" w:cs="Times New Roman" w:eastAsia="Times New Roman" w:hAnsi="Times New Roman"/>
          <w:sz w:val="22"/>
          <w:szCs w:val="22"/>
          <w:u w:val="single" w:color="auto"/>
          <w:color w:val="auto"/>
        </w:rPr>
        <w:t>Dow Jones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Reuters Economic Services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Bloomberg,</w:t>
      </w:r>
      <w:r>
        <w:rPr>
          <w:rFonts w:ascii="Times New Roman" w:cs="Times New Roman" w:eastAsia="Times New Roman" w:hAnsi="Times New Roman"/>
          <w:sz w:val="22"/>
          <w:szCs w:val="22"/>
          <w:color w:val="auto"/>
        </w:rPr>
        <w:t xml:space="preserve"> or other publications of general circulation would be considered public. Supervised Persons should seek specific guidance from a Compliance Officer in situations where information concerning an issuer or its affiliated entities (e.g., subsidiaries) may not have been made available to the investment community generally but was made available to a group of institutional investors.</w:t>
      </w: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5. Contacts with Companies</w:t>
      </w:r>
    </w:p>
    <w:p>
      <w:pPr>
        <w:spacing w:after="0" w:line="156" w:lineRule="exact"/>
        <w:rPr>
          <w:sz w:val="20"/>
          <w:szCs w:val="20"/>
          <w:color w:val="auto"/>
        </w:rPr>
      </w:pPr>
    </w:p>
    <w:p>
      <w:pPr>
        <w:jc w:val="both"/>
        <w:ind w:firstLine="688"/>
        <w:spacing w:after="0" w:line="233" w:lineRule="auto"/>
        <w:rPr>
          <w:sz w:val="20"/>
          <w:szCs w:val="20"/>
          <w:color w:val="auto"/>
        </w:rPr>
      </w:pPr>
      <w:r>
        <w:rPr>
          <w:rFonts w:ascii="Times New Roman" w:cs="Times New Roman" w:eastAsia="Times New Roman" w:hAnsi="Times New Roman"/>
          <w:sz w:val="22"/>
          <w:szCs w:val="22"/>
          <w:color w:val="auto"/>
        </w:rPr>
        <w:t>From time to time, Supervised Persons may meet with members of senior management at publicly-traded companies associated with an investment/deal or a prospective investment/deal. Supervised Persons may also participate in ad hoc creditors’ committees for distressed companies exploring restructuring options. OFS Adviser may make investment decisions on the basis of the Firm’s conclusions formed through such contacts and analysis of publicly-available information regarding foreign and U.S. companies. Difficult legal issues arise when, during these contacts, a Supervised Person becomes aware of MNPI about those companies. This could happen, for example, if a company’s chief financial officer prematurely discloses quarterly results to a Supervised Person, a broker, or a securities analyst, or if an investor relations representative makes a selective disclosure of adverse news to a handful of investors; or in the case of creditors’ committees, if the advisors or consultants engaged by the distressed company inadvertently disclose MNPI to Supervised Persons through their participation in the committee. In such situations, Supervised Persons should immediately contact a Compliance Officer if he or she believes that he or she may have received MNPI about a publicly traded company.</w:t>
      </w:r>
    </w:p>
    <w:p>
      <w:pPr>
        <w:spacing w:after="0" w:line="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6. Tender Offers</w:t>
      </w:r>
    </w:p>
    <w:p>
      <w:pPr>
        <w:spacing w:after="0" w:line="156" w:lineRule="exact"/>
        <w:rPr>
          <w:sz w:val="20"/>
          <w:szCs w:val="20"/>
          <w:color w:val="auto"/>
        </w:rPr>
      </w:pPr>
    </w:p>
    <w:p>
      <w:pPr>
        <w:jc w:val="both"/>
        <w:ind w:firstLine="688"/>
        <w:spacing w:after="0" w:line="249" w:lineRule="auto"/>
        <w:rPr>
          <w:sz w:val="20"/>
          <w:szCs w:val="20"/>
          <w:color w:val="auto"/>
        </w:rPr>
      </w:pPr>
      <w:r>
        <w:rPr>
          <w:rFonts w:ascii="Times New Roman" w:cs="Times New Roman" w:eastAsia="Times New Roman" w:hAnsi="Times New Roman"/>
          <w:sz w:val="21"/>
          <w:szCs w:val="21"/>
          <w:color w:val="auto"/>
        </w:rPr>
        <w:t>Tender offers raise heightened concerns in the law of insider trading for two reasons. First, tender offer activity often produces gyrations in the price of the target company’s Securities. Trading during this period is more likely to attract regulatory attention (and produces a disproportionate percentage of insider trading cases). Second, the SEC has adopted a rule which expressly forbids trading and “tipping” while in possession of MNPI regarding a tender offer received from the tender offeror, the target company or anyone acting on behalf of either. Supervised Persons should exercise caution any time they become aware of nonpublic information relating to a tender offer.</w:t>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7. Shadow Trading</w:t>
      </w:r>
    </w:p>
    <w:p>
      <w:pPr>
        <w:spacing w:after="0" w:line="156" w:lineRule="exact"/>
        <w:rPr>
          <w:sz w:val="20"/>
          <w:szCs w:val="20"/>
          <w:color w:val="auto"/>
        </w:rPr>
      </w:pPr>
    </w:p>
    <w:p>
      <w:pPr>
        <w:jc w:val="both"/>
        <w:ind w:firstLine="688"/>
        <w:spacing w:after="0" w:line="238" w:lineRule="auto"/>
        <w:rPr>
          <w:sz w:val="20"/>
          <w:szCs w:val="20"/>
          <w:color w:val="auto"/>
        </w:rPr>
      </w:pPr>
      <w:r>
        <w:rPr>
          <w:rFonts w:ascii="Times New Roman" w:cs="Times New Roman" w:eastAsia="Times New Roman" w:hAnsi="Times New Roman"/>
          <w:sz w:val="22"/>
          <w:szCs w:val="22"/>
          <w:color w:val="auto"/>
        </w:rPr>
        <w:t>Shadow Trading occurs when a Supervised Person possesses MNPI regarding a company and trades in the securities of another company that is “economically linked” to the company for which that Supervised Person has MNPI. “Economically Linked” is the concept that MNPI about one issuer could likely affect the price of the securities of another issuer due to being in the same sector, employing the same service providers, being subject to the same cybersecurity failings, etc. that are in the same sector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-27-</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40" w:right="899" w:bottom="1440" w:gutter="0" w:footer="0" w:header="0"/>
        </w:sectPr>
      </w:pPr>
    </w:p>
    <w:bookmarkStart w:id="95" w:name="page96"/>
    <w:bookmarkEnd w:id="95"/>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53186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7">
                      <a:extLst>
                        <a:ext uri="{28A0092B-C50C-407E-A947-70E740481C1C}"/>
                      </a:extLst>
                    </a:blip>
                    <a:srcRect/>
                    <a:stretch>
                      <a:fillRect/>
                    </a:stretch>
                  </pic:blipFill>
                  <pic:spPr bwMode="auto">
                    <a:xfrm>
                      <a:off x="0" y="0"/>
                      <a:ext cx="7136130" cy="8531860"/>
                    </a:xfrm>
                    <a:prstGeom prst="rect">
                      <a:avLst/>
                    </a:prstGeom>
                    <a:noFill/>
                  </pic:spPr>
                </pic:pic>
              </a:graphicData>
            </a:graphic>
          </wp:anchor>
        </w:drawing>
      </w:r>
    </w:p>
    <w:p>
      <w:pPr>
        <w:jc w:val="both"/>
        <w:ind w:left="9"/>
        <w:spacing w:after="0" w:line="246" w:lineRule="auto"/>
        <w:rPr>
          <w:sz w:val="20"/>
          <w:szCs w:val="20"/>
          <w:color w:val="auto"/>
        </w:rPr>
      </w:pPr>
      <w:r>
        <w:rPr>
          <w:rFonts w:ascii="Times New Roman" w:cs="Times New Roman" w:eastAsia="Times New Roman" w:hAnsi="Times New Roman"/>
          <w:sz w:val="21"/>
          <w:szCs w:val="21"/>
          <w:color w:val="auto"/>
        </w:rPr>
        <w:t xml:space="preserve">or subsector in predictable ways. An SEC insider trading case claiming a defendant engaged in impermissible insider trading through shadow trading was upheld in a court case in April 2024, see </w:t>
      </w:r>
      <w:r>
        <w:rPr>
          <w:rFonts w:ascii="Times New Roman" w:cs="Times New Roman" w:eastAsia="Times New Roman" w:hAnsi="Times New Roman"/>
          <w:sz w:val="21"/>
          <w:szCs w:val="21"/>
          <w:u w:val="single" w:color="auto"/>
          <w:color w:val="auto"/>
        </w:rPr>
        <w:t>SEC v. Matthew Panuwat.</w:t>
      </w:r>
      <w:r>
        <w:rPr>
          <w:rFonts w:ascii="Times New Roman" w:cs="Times New Roman" w:eastAsia="Times New Roman" w:hAnsi="Times New Roman"/>
          <w:sz w:val="21"/>
          <w:szCs w:val="21"/>
          <w:color w:val="auto"/>
        </w:rPr>
        <w:t xml:space="preserve"> Supervised Persons should be aware that the SEC considers shadow trading to be insider trading and ensure they do not engage in transactions in “economically linked” securities while in possession of MNPI about a different, closely correlated issuer (securities of companies in the same industry). For example, a Supervised Person obtains MNPI regarding Southwest Airlines’ discovery of a significant defect in its Boeing 737 planes, which is expected to cause its stock price to decline once that news is made available to the public. The Supervised Person then uses that information to short Alaska Airlines’ stock, as Alaska Airlines also primarily utilizes Boeing 737’s in their fleet and its stock is likely to be affected in the same way as they are in the same industry and “economically linked”.</w:t>
      </w:r>
    </w:p>
    <w:p>
      <w:pPr>
        <w:spacing w:after="0" w:line="63"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22"/>
          <w:szCs w:val="22"/>
          <w:b w:val="1"/>
          <w:bCs w:val="1"/>
          <w:color w:val="auto"/>
        </w:rPr>
        <w:t>8. Penalties for Insider Trading</w:t>
      </w:r>
    </w:p>
    <w:p>
      <w:pPr>
        <w:spacing w:after="0" w:line="156" w:lineRule="exact"/>
        <w:rPr>
          <w:sz w:val="20"/>
          <w:szCs w:val="20"/>
          <w:color w:val="auto"/>
        </w:rPr>
      </w:pPr>
    </w:p>
    <w:p>
      <w:pPr>
        <w:jc w:val="both"/>
        <w:ind w:left="9" w:firstLine="688"/>
        <w:spacing w:after="0" w:line="244" w:lineRule="auto"/>
        <w:rPr>
          <w:sz w:val="20"/>
          <w:szCs w:val="20"/>
          <w:color w:val="auto"/>
        </w:rPr>
      </w:pPr>
      <w:r>
        <w:rPr>
          <w:rFonts w:ascii="Times New Roman" w:cs="Times New Roman" w:eastAsia="Times New Roman" w:hAnsi="Times New Roman"/>
          <w:sz w:val="22"/>
          <w:szCs w:val="22"/>
          <w:color w:val="auto"/>
        </w:rPr>
        <w:t>Penalties for trading on or inappropriately communicating MNPI are severe, both for the individuals involved and their employers. A person can be subject to some or all of the penalties below, even if he or she does not personally benefit from the violations. Penalties include:</w:t>
      </w:r>
    </w:p>
    <w:p>
      <w:pPr>
        <w:spacing w:after="0" w:line="65" w:lineRule="exact"/>
        <w:rPr>
          <w:sz w:val="20"/>
          <w:szCs w:val="20"/>
          <w:color w:val="auto"/>
        </w:rPr>
      </w:pPr>
    </w:p>
    <w:p>
      <w:pPr>
        <w:ind w:left="1729" w:hanging="353"/>
        <w:spacing w:after="0"/>
        <w:tabs>
          <w:tab w:leader="none" w:pos="172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injunctions;</w:t>
      </w:r>
    </w:p>
    <w:p>
      <w:pPr>
        <w:spacing w:after="0" w:line="30" w:lineRule="exact"/>
        <w:rPr>
          <w:rFonts w:ascii="Times New Roman" w:cs="Times New Roman" w:eastAsia="Times New Roman" w:hAnsi="Times New Roman"/>
          <w:sz w:val="22"/>
          <w:szCs w:val="22"/>
          <w:color w:val="auto"/>
        </w:rPr>
      </w:pPr>
    </w:p>
    <w:p>
      <w:pPr>
        <w:ind w:left="1729" w:hanging="353"/>
        <w:spacing w:after="0"/>
        <w:tabs>
          <w:tab w:leader="none" w:pos="172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profits;</w:t>
      </w:r>
    </w:p>
    <w:p>
      <w:pPr>
        <w:spacing w:after="0" w:line="30" w:lineRule="exact"/>
        <w:rPr>
          <w:rFonts w:ascii="Times New Roman" w:cs="Times New Roman" w:eastAsia="Times New Roman" w:hAnsi="Times New Roman"/>
          <w:sz w:val="22"/>
          <w:szCs w:val="22"/>
          <w:color w:val="auto"/>
        </w:rPr>
      </w:pPr>
    </w:p>
    <w:p>
      <w:pPr>
        <w:jc w:val="both"/>
        <w:ind w:left="1709" w:hanging="333"/>
        <w:spacing w:after="0" w:line="243" w:lineRule="auto"/>
        <w:tabs>
          <w:tab w:leader="none" w:pos="170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punitive damages (i.e., fines for the person who committed the violation of up to three (3) times the profit gained, or loss avoided, irrespective of whether the person actually benefited personally);</w:t>
      </w:r>
    </w:p>
    <w:p>
      <w:pPr>
        <w:ind w:left="1729" w:hanging="353"/>
        <w:spacing w:after="0"/>
        <w:tabs>
          <w:tab w:leader="none" w:pos="172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felony convictions which include possible jail sentences; and</w:t>
      </w:r>
    </w:p>
    <w:p>
      <w:pPr>
        <w:spacing w:after="0" w:line="18" w:lineRule="exact"/>
        <w:rPr>
          <w:rFonts w:ascii="Times New Roman" w:cs="Times New Roman" w:eastAsia="Times New Roman" w:hAnsi="Times New Roman"/>
          <w:sz w:val="22"/>
          <w:szCs w:val="22"/>
          <w:color w:val="auto"/>
        </w:rPr>
      </w:pPr>
    </w:p>
    <w:p>
      <w:pPr>
        <w:ind w:left="1729" w:hanging="353"/>
        <w:spacing w:after="0"/>
        <w:tabs>
          <w:tab w:leader="none" w:pos="172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fines and sanctions against the employer or other controlling person.</w:t>
      </w:r>
    </w:p>
    <w:p>
      <w:pPr>
        <w:spacing w:after="0" w:line="161" w:lineRule="exact"/>
        <w:rPr>
          <w:rFonts w:ascii="Times New Roman" w:cs="Times New Roman" w:eastAsia="Times New Roman" w:hAnsi="Times New Roman"/>
          <w:sz w:val="22"/>
          <w:szCs w:val="22"/>
          <w:color w:val="auto"/>
        </w:rPr>
      </w:pPr>
    </w:p>
    <w:p>
      <w:pPr>
        <w:ind w:left="689" w:hanging="689"/>
        <w:spacing w:after="0"/>
        <w:tabs>
          <w:tab w:leader="none" w:pos="689"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INSIDER TRADING PROCEDURES</w:t>
      </w:r>
    </w:p>
    <w:p>
      <w:pPr>
        <w:spacing w:after="0" w:line="210" w:lineRule="exact"/>
        <w:rPr>
          <w:rFonts w:ascii="Times New Roman" w:cs="Times New Roman" w:eastAsia="Times New Roman" w:hAnsi="Times New Roman"/>
          <w:sz w:val="22"/>
          <w:szCs w:val="22"/>
          <w:b w:val="1"/>
          <w:bCs w:val="1"/>
          <w:color w:val="auto"/>
        </w:rPr>
      </w:pPr>
    </w:p>
    <w:p>
      <w:pPr>
        <w:ind w:left="689"/>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following procedures have been established to assist Supervised Persons in avoiding insider trading, and</w:t>
      </w:r>
    </w:p>
    <w:p>
      <w:pPr>
        <w:spacing w:after="0" w:line="26" w:lineRule="exact"/>
        <w:rPr>
          <w:sz w:val="20"/>
          <w:szCs w:val="20"/>
          <w:color w:val="auto"/>
        </w:rPr>
      </w:pPr>
    </w:p>
    <w:p>
      <w:pPr>
        <w:ind w:left="9"/>
        <w:spacing w:after="0" w:line="237" w:lineRule="auto"/>
        <w:rPr>
          <w:sz w:val="20"/>
          <w:szCs w:val="20"/>
          <w:color w:val="auto"/>
        </w:rPr>
      </w:pPr>
      <w:r>
        <w:rPr>
          <w:rFonts w:ascii="Times New Roman" w:cs="Times New Roman" w:eastAsia="Times New Roman" w:hAnsi="Times New Roman"/>
          <w:sz w:val="22"/>
          <w:szCs w:val="22"/>
          <w:color w:val="auto"/>
        </w:rPr>
        <w:t>to aid OFS Adviser in preventing, detecting, and imposing sanctions for insider trading. The following procedures should be read in conjunction with other policies set forth in this Code, and in the Compliance Policies.</w:t>
      </w:r>
    </w:p>
    <w:p>
      <w:pPr>
        <w:spacing w:after="0" w:line="66"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22"/>
          <w:szCs w:val="22"/>
          <w:b w:val="1"/>
          <w:bCs w:val="1"/>
          <w:color w:val="auto"/>
        </w:rPr>
        <w:t>1. Identifying MNPI</w:t>
      </w:r>
    </w:p>
    <w:p>
      <w:pPr>
        <w:spacing w:after="0" w:line="156" w:lineRule="exact"/>
        <w:rPr>
          <w:sz w:val="20"/>
          <w:szCs w:val="20"/>
          <w:color w:val="auto"/>
        </w:rPr>
      </w:pPr>
    </w:p>
    <w:p>
      <w:pPr>
        <w:ind w:left="9" w:right="20" w:firstLine="688"/>
        <w:spacing w:after="0" w:line="258" w:lineRule="auto"/>
        <w:rPr>
          <w:sz w:val="20"/>
          <w:szCs w:val="20"/>
          <w:color w:val="auto"/>
        </w:rPr>
      </w:pPr>
      <w:r>
        <w:rPr>
          <w:rFonts w:ascii="Times New Roman" w:cs="Times New Roman" w:eastAsia="Times New Roman" w:hAnsi="Times New Roman"/>
          <w:sz w:val="22"/>
          <w:szCs w:val="22"/>
          <w:color w:val="auto"/>
        </w:rPr>
        <w:t>Before trading in the Securities of a company about which they may have potential MNPI, Supervised Persons should ask themselves the following questions:</w:t>
      </w:r>
    </w:p>
    <w:p>
      <w:pPr>
        <w:spacing w:after="0" w:line="293" w:lineRule="exact"/>
        <w:rPr>
          <w:sz w:val="20"/>
          <w:szCs w:val="20"/>
          <w:color w:val="auto"/>
        </w:rPr>
      </w:pPr>
    </w:p>
    <w:p>
      <w:pPr>
        <w:jc w:val="both"/>
        <w:ind w:left="1709" w:hanging="333"/>
        <w:spacing w:after="0" w:line="236" w:lineRule="auto"/>
        <w:tabs>
          <w:tab w:leader="none" w:pos="170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information material? Is this information that an investor would consider important in making his or her investment decisions (e.g., whether the investor should buy, sell, or hold a Security)? Is this information that would substantially affect the market price of the Securities if generally disclosed?</w:t>
      </w:r>
    </w:p>
    <w:p>
      <w:pPr>
        <w:ind w:left="1709" w:hanging="333"/>
        <w:spacing w:after="0" w:line="237" w:lineRule="auto"/>
        <w:tabs>
          <w:tab w:leader="none" w:pos="170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information nonpublic? To whom has this information been provided? Has the information been effectively communicated to the marketplace by being published in</w:t>
      </w:r>
    </w:p>
    <w:p>
      <w:pPr>
        <w:spacing w:after="0" w:line="200" w:lineRule="exact"/>
        <w:rPr>
          <w:sz w:val="20"/>
          <w:szCs w:val="20"/>
          <w:color w:val="auto"/>
        </w:rPr>
      </w:pPr>
    </w:p>
    <w:p>
      <w:pPr>
        <w:spacing w:after="0" w:line="22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-28-</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96" w:name="page97"/>
    <w:bookmarkEnd w:id="96"/>
    <w:p>
      <w:pPr>
        <w:jc w:val="both"/>
        <w:ind w:left="1700"/>
        <w:spacing w:after="0" w:line="239" w:lineRule="auto"/>
        <w:rPr>
          <w:sz w:val="20"/>
          <w:szCs w:val="20"/>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26579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9">
                      <a:extLst>
                        <a:ext uri="{28A0092B-C50C-407E-A947-70E740481C1C}"/>
                      </a:extLst>
                    </a:blip>
                    <a:srcRect/>
                    <a:stretch>
                      <a:fillRect/>
                    </a:stretch>
                  </pic:blipFill>
                  <pic:spPr bwMode="auto">
                    <a:xfrm>
                      <a:off x="0" y="0"/>
                      <a:ext cx="7136130" cy="8265795"/>
                    </a:xfrm>
                    <a:prstGeom prst="rect">
                      <a:avLst/>
                    </a:prstGeom>
                    <a:noFill/>
                  </pic:spPr>
                </pic:pic>
              </a:graphicData>
            </a:graphic>
          </wp:anchor>
        </w:drawing>
        <w:t>Reuters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Bloomberg,</w:t>
      </w:r>
      <w:r>
        <w:rPr>
          <w:rFonts w:ascii="Times New Roman" w:cs="Times New Roman" w:eastAsia="Times New Roman" w:hAnsi="Times New Roman"/>
          <w:sz w:val="22"/>
          <w:szCs w:val="22"/>
          <w:color w:val="auto"/>
        </w:rPr>
        <w:t xml:space="preserve"> or other publications of general circulation? Remember that information that has been communicated to a relatively large group of sophisticated investors does not by itself mean that the information is public (e.g., large group of potential bank debt investors during an </w:t>
      </w:r>
      <w:r>
        <w:rPr>
          <w:rFonts w:ascii="Times New Roman" w:cs="Times New Roman" w:eastAsia="Times New Roman" w:hAnsi="Times New Roman"/>
          <w:sz w:val="22"/>
          <w:szCs w:val="22"/>
          <w:i w:val="1"/>
          <w:iCs w:val="1"/>
          <w:color w:val="auto"/>
        </w:rPr>
        <w:t>invitation only</w:t>
      </w:r>
      <w:r>
        <w:rPr>
          <w:rFonts w:ascii="Times New Roman" w:cs="Times New Roman" w:eastAsia="Times New Roman" w:hAnsi="Times New Roman"/>
          <w:sz w:val="22"/>
          <w:szCs w:val="22"/>
          <w:color w:val="auto"/>
        </w:rPr>
        <w:t xml:space="preserve"> meeting).</w:t>
      </w:r>
    </w:p>
    <w:p>
      <w:pPr>
        <w:spacing w:after="0" w:line="3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2. Restricting Access to MNPI</w:t>
      </w:r>
    </w:p>
    <w:p>
      <w:pPr>
        <w:spacing w:after="0" w:line="156" w:lineRule="exact"/>
        <w:rPr>
          <w:sz w:val="20"/>
          <w:szCs w:val="20"/>
          <w:color w:val="auto"/>
        </w:rPr>
      </w:pPr>
    </w:p>
    <w:p>
      <w:pPr>
        <w:jc w:val="both"/>
        <w:ind w:firstLine="688"/>
        <w:spacing w:after="0" w:line="239" w:lineRule="auto"/>
        <w:rPr>
          <w:sz w:val="20"/>
          <w:szCs w:val="20"/>
          <w:color w:val="auto"/>
        </w:rPr>
      </w:pPr>
      <w:r>
        <w:rPr>
          <w:rFonts w:ascii="Times New Roman" w:cs="Times New Roman" w:eastAsia="Times New Roman" w:hAnsi="Times New Roman"/>
          <w:sz w:val="22"/>
          <w:szCs w:val="22"/>
          <w:color w:val="auto"/>
        </w:rPr>
        <w:t>Care should be taken so that MNPI is secure. For example, files containing MNPI should be sealed or locked; access to computer files containing MNPI should be restricted. As a general matter, materials containing such information should not be removed from the Firm’s premises and, if they are, appropriate measures should be maintained to protect the materials from loss or disclosure. Among other things, Supervised Persons should:</w:t>
      </w:r>
    </w:p>
    <w:p>
      <w:pPr>
        <w:spacing w:after="0" w:line="315" w:lineRule="exact"/>
        <w:rPr>
          <w:sz w:val="20"/>
          <w:szCs w:val="20"/>
          <w:color w:val="auto"/>
        </w:rPr>
      </w:pPr>
    </w:p>
    <w:p>
      <w:pPr>
        <w:ind w:left="1720" w:hanging="353"/>
        <w:spacing w:after="0"/>
        <w:tabs>
          <w:tab w:leader="none" w:pos="172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distribute materials containing MNPI only on a need-to-know” basis;</w:t>
      </w:r>
    </w:p>
    <w:p>
      <w:pPr>
        <w:spacing w:after="0" w:line="71" w:lineRule="exact"/>
        <w:rPr>
          <w:rFonts w:ascii="Times New Roman" w:cs="Times New Roman" w:eastAsia="Times New Roman" w:hAnsi="Times New Roman"/>
          <w:sz w:val="22"/>
          <w:szCs w:val="22"/>
          <w:color w:val="auto"/>
        </w:rPr>
      </w:pPr>
    </w:p>
    <w:p>
      <w:pPr>
        <w:jc w:val="both"/>
        <w:ind w:left="1700" w:hanging="333"/>
        <w:spacing w:after="0" w:line="233" w:lineRule="auto"/>
        <w:tabs>
          <w:tab w:leader="none" w:pos="17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care so that telephone conversations cannot be overheard when discussing matters involving MNPI (e.g., speaker telephones should generally be used in a way </w:t>
      </w:r>
      <w:r>
        <w:rPr>
          <w:rFonts w:ascii="Times New Roman" w:cs="Times New Roman" w:eastAsia="Times New Roman" w:hAnsi="Times New Roman"/>
          <w:sz w:val="19"/>
          <w:szCs w:val="19"/>
          <w:color w:val="auto"/>
        </w:rPr>
        <w:t>so that outsiders who might be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OFS Advisers’ offices are not inadvertently exposed to this information);</w:t>
      </w:r>
    </w:p>
    <w:p>
      <w:pPr>
        <w:spacing w:after="0" w:line="2" w:lineRule="exact"/>
        <w:rPr>
          <w:rFonts w:ascii="Times New Roman" w:cs="Times New Roman" w:eastAsia="Times New Roman" w:hAnsi="Times New Roman"/>
          <w:sz w:val="22"/>
          <w:szCs w:val="22"/>
          <w:color w:val="auto"/>
        </w:rPr>
      </w:pPr>
    </w:p>
    <w:p>
      <w:pPr>
        <w:ind w:left="1720" w:hanging="353"/>
        <w:spacing w:after="0" w:line="230" w:lineRule="auto"/>
        <w:tabs>
          <w:tab w:leader="none" w:pos="172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 access to offices and conference rooms when these rooms contain MNPI; and</w:t>
      </w:r>
    </w:p>
    <w:p>
      <w:pPr>
        <w:ind w:left="1700" w:right="340" w:hanging="333"/>
        <w:spacing w:after="0" w:line="237" w:lineRule="auto"/>
        <w:tabs>
          <w:tab w:leader="none" w:pos="17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leave materials containing MNPI displayed on the computer screen when they leave their computers unattended.</w:t>
      </w:r>
    </w:p>
    <w:p>
      <w:pPr>
        <w:spacing w:after="0" w:line="120" w:lineRule="exact"/>
        <w:rPr>
          <w:rFonts w:ascii="Times New Roman" w:cs="Times New Roman" w:eastAsia="Times New Roman" w:hAnsi="Times New Roman"/>
          <w:sz w:val="22"/>
          <w:szCs w:val="22"/>
          <w:color w:val="auto"/>
        </w:rPr>
      </w:pPr>
    </w:p>
    <w:p>
      <w:pPr>
        <w:ind w:left="820" w:hanging="251"/>
        <w:spacing w:after="0"/>
        <w:tabs>
          <w:tab w:leader="none" w:pos="82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Review and Dissemination of Certain Investment Related Information</w:t>
      </w:r>
    </w:p>
    <w:p>
      <w:pPr>
        <w:spacing w:after="0" w:line="156" w:lineRule="exact"/>
        <w:rPr>
          <w:sz w:val="20"/>
          <w:szCs w:val="20"/>
          <w:color w:val="auto"/>
        </w:rPr>
      </w:pPr>
    </w:p>
    <w:p>
      <w:pPr>
        <w:jc w:val="both"/>
        <w:ind w:firstLine="688"/>
        <w:spacing w:after="0" w:line="233" w:lineRule="auto"/>
        <w:rPr>
          <w:sz w:val="20"/>
          <w:szCs w:val="20"/>
          <w:color w:val="auto"/>
        </w:rPr>
      </w:pPr>
      <w:r>
        <w:rPr>
          <w:rFonts w:ascii="Times New Roman" w:cs="Times New Roman" w:eastAsia="Times New Roman" w:hAnsi="Times New Roman"/>
          <w:sz w:val="22"/>
          <w:szCs w:val="22"/>
          <w:color w:val="auto"/>
        </w:rPr>
        <w:t>As part of its consideration of certain investments, including in certain types of “non-Securities” (e.g., bank debt instruments), the Firm may enter into confidentiality agreements with third parties (e.g., issuers, sponsors, syndicate members or other lenders) that could have implications for the Firm’s compliance with federal securities laws. Those agreements may sometimes contain so-called “stand- still” provisions, which specifically restrict the Firm’s activity in Securities of identified issuers, but more typically simply raise the possibility that nonpublic information may be disclosed to the recipient and seek the receiving party’s acknowledgment of that understanding and agreement not to disclose any MNPI transmitted. The procedures for executing confidentiality agreements are set forth in the Firm’s Confidentiality Policy. Many potential counterparties or their agents specifically require that potential investors sign a confidentiality agreement before they will be provided access to investment- related information. Because of the importance of our policies regarding access to and use of confidential information, confidentiality agreements may only be reviewed, negotiated, and executed as set forth in the Firm’s Confidentiality Policy.</w:t>
      </w:r>
    </w:p>
    <w:p>
      <w:pPr>
        <w:spacing w:after="0" w:line="200" w:lineRule="exact"/>
        <w:rPr>
          <w:sz w:val="20"/>
          <w:szCs w:val="20"/>
          <w:color w:val="auto"/>
        </w:rPr>
      </w:pPr>
    </w:p>
    <w:p>
      <w:pPr>
        <w:spacing w:after="0" w:line="2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4. Determination of Materiality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-29-</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08" w:right="899" w:bottom="1440" w:gutter="0" w:footer="0" w:header="0"/>
        </w:sectPr>
      </w:pPr>
    </w:p>
    <w:bookmarkStart w:id="97" w:name="page98"/>
    <w:bookmarkEnd w:id="97"/>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7260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1">
                      <a:extLst>
                        <a:ext uri="{28A0092B-C50C-407E-A947-70E740481C1C}"/>
                      </a:extLst>
                    </a:blip>
                    <a:srcRect/>
                    <a:stretch>
                      <a:fillRect/>
                    </a:stretch>
                  </pic:blipFill>
                  <pic:spPr bwMode="auto">
                    <a:xfrm>
                      <a:off x="0" y="0"/>
                      <a:ext cx="7136130" cy="7726045"/>
                    </a:xfrm>
                    <a:prstGeom prst="rect">
                      <a:avLst/>
                    </a:prstGeom>
                    <a:noFill/>
                  </pic:spPr>
                </pic:pic>
              </a:graphicData>
            </a:graphic>
          </wp:anchor>
        </w:drawing>
      </w:r>
    </w:p>
    <w:p>
      <w:pPr>
        <w:jc w:val="both"/>
        <w:ind w:right="100" w:firstLine="688"/>
        <w:spacing w:after="0" w:line="235" w:lineRule="auto"/>
        <w:rPr>
          <w:sz w:val="20"/>
          <w:szCs w:val="20"/>
          <w:color w:val="auto"/>
        </w:rPr>
      </w:pPr>
      <w:r>
        <w:rPr>
          <w:rFonts w:ascii="Times New Roman" w:cs="Times New Roman" w:eastAsia="Times New Roman" w:hAnsi="Times New Roman"/>
          <w:sz w:val="22"/>
          <w:szCs w:val="22"/>
          <w:color w:val="auto"/>
        </w:rPr>
        <w:t>Given the unique asset classes in which OFS Adviser typically invests, Supervised Persons may receive detailed information about a Security that may not be otherwise readily available to the investing public. The issue of “materiality” and the ultimate determination as to whether the information provided rises to the level of MNPI should not be made independently by a Supervised Person. Rather, the employee should contact the Compliance Department to conduct a materiality assessment and an informed determination may be made. Unless otherwise determined by the Compliance Department, in consultation with investment staff and outside legal counsel, as appropriate, information received about a publicly-traded Security that is not readily available to the investing public shall be deemed to be and treated as material.</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5. Use of Expert Networks</w:t>
      </w:r>
    </w:p>
    <w:p>
      <w:pPr>
        <w:spacing w:after="0" w:line="156" w:lineRule="exact"/>
        <w:rPr>
          <w:sz w:val="20"/>
          <w:szCs w:val="20"/>
          <w:color w:val="auto"/>
        </w:rPr>
      </w:pPr>
    </w:p>
    <w:p>
      <w:pPr>
        <w:jc w:val="both"/>
        <w:ind w:right="100" w:firstLine="688"/>
        <w:spacing w:after="0" w:line="234" w:lineRule="auto"/>
        <w:rPr>
          <w:sz w:val="20"/>
          <w:szCs w:val="20"/>
          <w:color w:val="auto"/>
        </w:rPr>
      </w:pPr>
      <w:r>
        <w:rPr>
          <w:rFonts w:ascii="Times New Roman" w:cs="Times New Roman" w:eastAsia="Times New Roman" w:hAnsi="Times New Roman"/>
          <w:sz w:val="22"/>
          <w:szCs w:val="22"/>
          <w:color w:val="auto"/>
        </w:rPr>
        <w:t>While it is permissible to utilize Expert Networks, which provide information, advice, analysis, market expertise or industry experience for use in the due diligence process of a potential investment, formulating investment views or on-going oversight of current investments, OFS Adviser must be particularly sensitive about the information that these Expert Networks provide. Accordingly, OFS Adviser has adopted an Expert Network Policy which governs the contact and interaction with Expert Networks, and requires Supervised Persons to obtain preapproval from the Compliance Department before engaging an Expert Network. OFS Adviser’s Expert Network Policy is hereby incorporated into this Code by reference. Those Supervised Person who have been approved to use Expert Networks are required to fully comply with all policies, procedures, certifications and training requirements associated with the Expert Network Policy, and any instance of non-compliance will likely constitute a violation of the Code.</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6. Value-Added Investors</w:t>
      </w:r>
    </w:p>
    <w:p>
      <w:pPr>
        <w:spacing w:after="0" w:line="156" w:lineRule="exact"/>
        <w:rPr>
          <w:sz w:val="20"/>
          <w:szCs w:val="20"/>
          <w:color w:val="auto"/>
        </w:rPr>
      </w:pPr>
    </w:p>
    <w:p>
      <w:pPr>
        <w:jc w:val="both"/>
        <w:ind w:right="120" w:firstLine="688"/>
        <w:spacing w:after="0" w:line="238" w:lineRule="auto"/>
        <w:rPr>
          <w:sz w:val="20"/>
          <w:szCs w:val="20"/>
          <w:color w:val="auto"/>
        </w:rPr>
      </w:pPr>
      <w:r>
        <w:rPr>
          <w:rFonts w:ascii="Times New Roman" w:cs="Times New Roman" w:eastAsia="Times New Roman" w:hAnsi="Times New Roman"/>
          <w:sz w:val="22"/>
          <w:szCs w:val="22"/>
          <w:color w:val="auto"/>
        </w:rPr>
        <w:t>Certain investors, who are affiliated with public companies, can pose additional risk for Supervised Persons’ exposure to MNPI. The SEC has coined the term “value-added investors” (“VAIs”) to refer to these types of investors. VAIs are investors with whom OFS Advisor has direct contact (i.e., those investors of OFS Advisory Clients with whom OFS Advisor has ongoing relationships and not investors who interact with OFS Advisor for “one off” purposes) and are:</w:t>
      </w:r>
    </w:p>
    <w:p>
      <w:pPr>
        <w:spacing w:after="0" w:line="352" w:lineRule="exact"/>
        <w:rPr>
          <w:sz w:val="20"/>
          <w:szCs w:val="20"/>
          <w:color w:val="auto"/>
        </w:rPr>
      </w:pPr>
    </w:p>
    <w:p>
      <w:pPr>
        <w:ind w:left="1260" w:hanging="347"/>
        <w:spacing w:after="0" w:line="249" w:lineRule="auto"/>
        <w:tabs>
          <w:tab w:leader="none" w:pos="12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company executives, officers, directors, or corporate insiders who may possess or have access to MNPI due to their position; and</w:t>
      </w:r>
    </w:p>
    <w:p>
      <w:pPr>
        <w:spacing w:after="0" w:line="1" w:lineRule="exact"/>
        <w:rPr>
          <w:rFonts w:ascii="Times New Roman" w:cs="Times New Roman" w:eastAsia="Times New Roman" w:hAnsi="Times New Roman"/>
          <w:sz w:val="22"/>
          <w:szCs w:val="22"/>
          <w:color w:val="auto"/>
        </w:rPr>
      </w:pPr>
    </w:p>
    <w:p>
      <w:pPr>
        <w:jc w:val="both"/>
        <w:ind w:left="1260" w:hanging="347"/>
        <w:spacing w:after="0" w:line="244" w:lineRule="auto"/>
        <w:tabs>
          <w:tab w:leader="none" w:pos="12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principals or portfolio managers at investment firms such as hedge funds, investment advisers, broker-dealers, or investment banks who may possess or have access to MNPI due to the nature of their position.</w:t>
      </w: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Page -30-</w:t>
      </w:r>
    </w:p>
    <w:p>
      <w:pPr>
        <w:spacing w:after="0" w:line="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900" w:top="1440" w:right="799" w:bottom="1440" w:gutter="0" w:footer="0" w:header="0"/>
        </w:sectPr>
      </w:pPr>
    </w:p>
    <w:bookmarkStart w:id="98" w:name="page99"/>
    <w:bookmarkEnd w:id="98"/>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83413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3">
                      <a:extLst>
                        <a:ext uri="{28A0092B-C50C-407E-A947-70E740481C1C}"/>
                      </a:extLst>
                    </a:blip>
                    <a:srcRect/>
                    <a:stretch>
                      <a:fillRect/>
                    </a:stretch>
                  </pic:blipFill>
                  <pic:spPr bwMode="auto">
                    <a:xfrm>
                      <a:off x="0" y="0"/>
                      <a:ext cx="7136130" cy="3834130"/>
                    </a:xfrm>
                    <a:prstGeom prst="rect">
                      <a:avLst/>
                    </a:prstGeom>
                    <a:noFill/>
                  </pic:spPr>
                </pic:pic>
              </a:graphicData>
            </a:graphic>
          </wp:anchor>
        </w:drawing>
      </w: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Compliance Department maintains a VAI List. Certain OFS Supervised Persons who are responsible for interfacing with VAIs (“OFS VAI Contacts”) will promptly contact the Compliance Department if they become aware of a VAI and/or provide updates to the VAI List and attest to their compliance with the VAI policy on a quarterly basis. The Compliance Department will assess the names on the VAI List and request additional information, as necessary, and add those issuers identified as associated with a VAI to the Watch List, as appropriate.</w:t>
      </w:r>
    </w:p>
    <w:p>
      <w:pPr>
        <w:spacing w:after="0" w:line="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If you become aware of a current or prospective investor that could be considered a VAI or have questions regarding this policy, please contact the Compliance Department.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-31-</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40" w:right="899" w:bottom="1440" w:gutter="0" w:footer="0" w:header="0"/>
        </w:sectPr>
      </w:pPr>
    </w:p>
    <w:bookmarkStart w:id="99" w:name="page100"/>
    <w:bookmarkEnd w:id="99"/>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383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5">
                      <a:extLst>
                        <a:ext uri="{28A0092B-C50C-407E-A947-70E740481C1C}"/>
                      </a:extLst>
                    </a:blip>
                    <a:srcRect/>
                    <a:stretch>
                      <a:fillRect/>
                    </a:stretch>
                  </pic:blipFill>
                  <pic:spPr bwMode="auto">
                    <a:xfrm>
                      <a:off x="0" y="0"/>
                      <a:ext cx="7136130" cy="7383145"/>
                    </a:xfrm>
                    <a:prstGeom prst="rect">
                      <a:avLst/>
                    </a:prstGeom>
                    <a:noFill/>
                  </pic:spPr>
                </pic:pic>
              </a:graphicData>
            </a:graphic>
          </wp:anchor>
        </w:drawing>
      </w:r>
    </w:p>
    <w:p>
      <w:pPr>
        <w:ind w:left="1269"/>
        <w:spacing w:after="0"/>
        <w:tabs>
          <w:tab w:leader="none" w:pos="1929"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u w:val="single" w:color="auto"/>
          <w:color w:val="auto"/>
        </w:rPr>
        <w:t>GIFTS, ENTERTAINMENT AND POLITICAL ACTIVITIES</w:t>
      </w:r>
    </w:p>
    <w:p>
      <w:pPr>
        <w:spacing w:after="0" w:line="206" w:lineRule="exact"/>
        <w:rPr>
          <w:sz w:val="20"/>
          <w:szCs w:val="20"/>
          <w:color w:val="auto"/>
        </w:rPr>
      </w:pPr>
    </w:p>
    <w:p>
      <w:pPr>
        <w:ind w:left="689" w:hanging="689"/>
        <w:spacing w:after="0"/>
        <w:tabs>
          <w:tab w:leader="none" w:pos="689"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10" w:lineRule="exact"/>
        <w:rPr>
          <w:sz w:val="20"/>
          <w:szCs w:val="20"/>
          <w:color w:val="auto"/>
        </w:rPr>
      </w:pPr>
    </w:p>
    <w:p>
      <w:pPr>
        <w:ind w:left="9" w:firstLine="688"/>
        <w:spacing w:after="0" w:line="258" w:lineRule="auto"/>
        <w:rPr>
          <w:sz w:val="20"/>
          <w:szCs w:val="20"/>
          <w:color w:val="auto"/>
        </w:rPr>
      </w:pPr>
      <w:r>
        <w:rPr>
          <w:rFonts w:ascii="Times New Roman" w:cs="Times New Roman" w:eastAsia="Times New Roman" w:hAnsi="Times New Roman"/>
          <w:sz w:val="22"/>
          <w:szCs w:val="22"/>
          <w:color w:val="auto"/>
        </w:rPr>
        <w:t>OFS Adviser attempts to minimize any activity that might give rise to a question as to whether the Firm’s objectivity as a fiduciary has been compromised.</w:t>
      </w:r>
    </w:p>
    <w:p>
      <w:pPr>
        <w:spacing w:after="0" w:line="46" w:lineRule="exact"/>
        <w:rPr>
          <w:sz w:val="20"/>
          <w:szCs w:val="20"/>
          <w:color w:val="auto"/>
        </w:rPr>
      </w:pPr>
    </w:p>
    <w:p>
      <w:pPr>
        <w:ind w:left="689" w:hanging="689"/>
        <w:spacing w:after="0"/>
        <w:tabs>
          <w:tab w:leader="none" w:pos="689"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GIFTS AND ENTERTAINMENT POLICY</w:t>
      </w:r>
    </w:p>
    <w:p>
      <w:pPr>
        <w:spacing w:after="0" w:line="210" w:lineRule="exact"/>
        <w:rPr>
          <w:sz w:val="20"/>
          <w:szCs w:val="20"/>
          <w:color w:val="auto"/>
        </w:rPr>
      </w:pPr>
    </w:p>
    <w:p>
      <w:pPr>
        <w:jc w:val="both"/>
        <w:ind w:left="9" w:right="20" w:firstLine="688"/>
        <w:spacing w:after="0" w:line="239" w:lineRule="auto"/>
        <w:rPr>
          <w:sz w:val="20"/>
          <w:szCs w:val="20"/>
          <w:color w:val="auto"/>
        </w:rPr>
      </w:pPr>
      <w:r>
        <w:rPr>
          <w:rFonts w:ascii="Times New Roman" w:cs="Times New Roman" w:eastAsia="Times New Roman" w:hAnsi="Times New Roman"/>
          <w:sz w:val="22"/>
          <w:szCs w:val="22"/>
          <w:color w:val="auto"/>
        </w:rPr>
        <w:t>One possible area of fiduciary concern relates to providing or receiving meals, gifts, entertainment or anything of value from third parties with which OFS Adviser or its Advisory Clients do business, including each OFS Fund, joint business partners, service providers and current and prospective clients (collectively “Outside Parties” and each an “Outside Party”).</w:t>
      </w:r>
    </w:p>
    <w:p>
      <w:pPr>
        <w:spacing w:after="0" w:line="72" w:lineRule="exact"/>
        <w:rPr>
          <w:sz w:val="20"/>
          <w:szCs w:val="20"/>
          <w:color w:val="auto"/>
        </w:rPr>
      </w:pPr>
    </w:p>
    <w:p>
      <w:pPr>
        <w:jc w:val="both"/>
        <w:ind w:left="9" w:firstLine="688"/>
        <w:spacing w:after="0" w:line="233" w:lineRule="auto"/>
        <w:rPr>
          <w:sz w:val="20"/>
          <w:szCs w:val="20"/>
          <w:color w:val="auto"/>
        </w:rPr>
      </w:pPr>
      <w:r>
        <w:rPr>
          <w:rFonts w:ascii="Times New Roman" w:cs="Times New Roman" w:eastAsia="Times New Roman" w:hAnsi="Times New Roman"/>
          <w:sz w:val="22"/>
          <w:szCs w:val="22"/>
          <w:color w:val="auto"/>
        </w:rPr>
        <w:t>Supervised Persons are prohibited from soliciting anything of value from Outside Parties, unless pre-approved by Compliance in writing. Further, no Supervised Person may give or receive any gift, meal or entertainment that could or is intended to influence decision-making or to make a person beholden, in any way, to another person or company that seeks to do or is currently doing business with the Firm or its Advisory Clients. Lavish or luxurious gifts and entertainment, and gifts and entertainment that are received or provided on a frequent basis, are generally deemed to meet this standard and, unless a Compliance Officer indicates otherwise, are prohibited. In addition, depending upon a Supervised Person’s responsibilities, specific regulatory requirements may dictate the types and extent of gifts and entertainment that Supervised Persons may give or receive. The Firm is committed to competing solely on the merit of its products and services, and Supervised Persons should avoid any actions that create a perception that favorable treatment of Outside Parties by the Firm was sought, received or given in exchange for a particular decision or action.</w:t>
      </w:r>
    </w:p>
    <w:p>
      <w:pPr>
        <w:spacing w:after="0" w:line="75"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22"/>
          <w:szCs w:val="22"/>
          <w:b w:val="1"/>
          <w:bCs w:val="1"/>
          <w:color w:val="auto"/>
        </w:rPr>
        <w:t>1. Business Meals</w:t>
      </w:r>
    </w:p>
    <w:p>
      <w:pPr>
        <w:spacing w:after="0" w:line="156" w:lineRule="exact"/>
        <w:rPr>
          <w:sz w:val="20"/>
          <w:szCs w:val="20"/>
          <w:color w:val="auto"/>
        </w:rPr>
      </w:pPr>
    </w:p>
    <w:p>
      <w:pPr>
        <w:jc w:val="both"/>
        <w:ind w:left="9" w:firstLine="688"/>
        <w:spacing w:after="0" w:line="236" w:lineRule="auto"/>
        <w:rPr>
          <w:sz w:val="20"/>
          <w:szCs w:val="20"/>
          <w:color w:val="auto"/>
        </w:rPr>
      </w:pPr>
      <w:r>
        <w:rPr>
          <w:rFonts w:ascii="Times New Roman" w:cs="Times New Roman" w:eastAsia="Times New Roman" w:hAnsi="Times New Roman"/>
          <w:sz w:val="22"/>
          <w:szCs w:val="22"/>
          <w:color w:val="auto"/>
        </w:rPr>
        <w:t xml:space="preserve">Generally, Supervised Persons may share food and beverages (meals) with Outside Parties in the ordinary course of business. </w:t>
      </w:r>
      <w:r>
        <w:rPr>
          <w:rFonts w:ascii="Times New Roman" w:cs="Times New Roman" w:eastAsia="Times New Roman" w:hAnsi="Times New Roman"/>
          <w:sz w:val="22"/>
          <w:szCs w:val="22"/>
          <w:b w:val="1"/>
          <w:bCs w:val="1"/>
          <w:color w:val="auto"/>
        </w:rPr>
        <w:t>Meals received by Supervised Persons from Outside Parties should not exceed $250 per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 per meal, unless preapproved by Compliance. Meals provided by Supervised Persons to Outside Parties are generally permissible and should also not exceed $250 per person per meal, unless preapproved by Compliance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No food or beverage should be provided to Public Officials without preclearance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preapproval by Compliance</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3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-32-</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100" w:name="page101"/>
    <w:bookmarkEnd w:id="100"/>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6518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7">
                      <a:extLst>
                        <a:ext uri="{28A0092B-C50C-407E-A947-70E740481C1C}"/>
                      </a:extLst>
                    </a:blip>
                    <a:srcRect/>
                    <a:stretch>
                      <a:fillRect/>
                    </a:stretch>
                  </pic:blipFill>
                  <pic:spPr bwMode="auto">
                    <a:xfrm>
                      <a:off x="0" y="0"/>
                      <a:ext cx="7136130" cy="865187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22"/>
          <w:szCs w:val="22"/>
          <w:b w:val="1"/>
          <w:bCs w:val="1"/>
          <w:color w:val="auto"/>
        </w:rPr>
        <w:t>2. Providing Business Gifts</w:t>
      </w:r>
    </w:p>
    <w:p>
      <w:pPr>
        <w:spacing w:after="0" w:line="156" w:lineRule="exact"/>
        <w:rPr>
          <w:sz w:val="20"/>
          <w:szCs w:val="20"/>
          <w:color w:val="auto"/>
        </w:rPr>
      </w:pPr>
    </w:p>
    <w:p>
      <w:pPr>
        <w:jc w:val="both"/>
        <w:ind w:firstLine="688"/>
        <w:spacing w:after="0" w:line="244" w:lineRule="auto"/>
        <w:rPr>
          <w:sz w:val="20"/>
          <w:szCs w:val="20"/>
          <w:color w:val="auto"/>
        </w:rPr>
      </w:pPr>
      <w:r>
        <w:rPr>
          <w:rFonts w:ascii="Times New Roman" w:cs="Times New Roman" w:eastAsia="Times New Roman" w:hAnsi="Times New Roman"/>
          <w:sz w:val="21"/>
          <w:szCs w:val="21"/>
          <w:color w:val="auto"/>
        </w:rPr>
        <w:t xml:space="preserve">Any Supervised Person who offers a gift to an Outside Party must be sure that it cannot reasonably be interpreted as an attempt to gain an unfair business advantage or otherwise reflect negatively upon the Firm. In addition, a Supervised Person may never use personal funds or resources to do something that cannot be done with Firm resources. A gift may include any services or merchandise of any kind or discounts on merchandise or services and other items of value. </w:t>
      </w:r>
      <w:r>
        <w:rPr>
          <w:rFonts w:ascii="Times New Roman" w:cs="Times New Roman" w:eastAsia="Times New Roman" w:hAnsi="Times New Roman"/>
          <w:sz w:val="21"/>
          <w:szCs w:val="21"/>
          <w:b w:val="1"/>
          <w:bCs w:val="1"/>
          <w:color w:val="auto"/>
        </w:rPr>
        <w:t>Generally, Supervised Persons are prohibited from giving gifts of cash, cash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equivalents (such as gift cards and gift certificates) and securities to Outside Parties</w:t>
      </w:r>
      <w:r>
        <w:rPr>
          <w:rFonts w:ascii="Times New Roman" w:cs="Times New Roman" w:eastAsia="Times New Roman" w:hAnsi="Times New Roman"/>
          <w:sz w:val="21"/>
          <w:szCs w:val="21"/>
          <w:color w:val="auto"/>
        </w:rPr>
        <w:t>. This policy does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prohibit the provision of occasional or nominal non-cash gift items, such as holiday gifts, to Outside Parties so long as the amount provided by a Supervised Person to any one recipient over a calendar year does not exceed $250.</w:t>
      </w:r>
    </w:p>
    <w:p>
      <w:pPr>
        <w:spacing w:after="0" w:line="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Once the aggregate amount proposed to be provided by a Supervised Person to any one recipient during one calendar year exceeds $250, that Supervised Person must submit a preclearance request and obtain preapproval via the Firm’s compliance portal. Further, anything of value (e.g., meals, beverages, gifts, and entertainment) to be provided to Public Officials requires preclearance approval via the Firm’s compliance portal</w:t>
      </w:r>
      <w:r>
        <w:rPr>
          <w:rFonts w:ascii="Times New Roman" w:cs="Times New Roman" w:eastAsia="Times New Roman" w:hAnsi="Times New Roman"/>
          <w:sz w:val="22"/>
          <w:szCs w:val="22"/>
          <w:color w:val="auto"/>
        </w:rPr>
        <w:t>.</w:t>
      </w:r>
    </w:p>
    <w:p>
      <w:pPr>
        <w:spacing w:after="0" w:line="71" w:lineRule="exact"/>
        <w:rPr>
          <w:sz w:val="20"/>
          <w:szCs w:val="20"/>
          <w:color w:val="auto"/>
        </w:rPr>
      </w:pPr>
    </w:p>
    <w:p>
      <w:pPr>
        <w:jc w:val="both"/>
        <w:ind w:firstLine="688"/>
        <w:spacing w:after="0" w:line="258" w:lineRule="auto"/>
        <w:rPr>
          <w:sz w:val="20"/>
          <w:szCs w:val="20"/>
          <w:color w:val="auto"/>
        </w:rPr>
      </w:pPr>
      <w:r>
        <w:rPr>
          <w:rFonts w:ascii="Times New Roman" w:cs="Times New Roman" w:eastAsia="Times New Roman" w:hAnsi="Times New Roman"/>
          <w:sz w:val="22"/>
          <w:szCs w:val="22"/>
          <w:color w:val="auto"/>
        </w:rPr>
        <w:t>The Compliance Department shall periodically review gifts provided for compliance with this Code as part of quarterly expense reimbursement review process.</w:t>
      </w:r>
    </w:p>
    <w:p>
      <w:pPr>
        <w:spacing w:after="0" w:line="50" w:lineRule="exact"/>
        <w:rPr>
          <w:sz w:val="20"/>
          <w:szCs w:val="20"/>
          <w:color w:val="auto"/>
        </w:rPr>
      </w:pPr>
    </w:p>
    <w:p>
      <w:pPr>
        <w:jc w:val="both"/>
        <w:ind w:firstLine="688"/>
        <w:spacing w:after="0" w:line="258" w:lineRule="auto"/>
        <w:rPr>
          <w:sz w:val="20"/>
          <w:szCs w:val="20"/>
          <w:color w:val="auto"/>
        </w:rPr>
      </w:pPr>
      <w:r>
        <w:rPr>
          <w:rFonts w:ascii="Times New Roman" w:cs="Times New Roman" w:eastAsia="Times New Roman" w:hAnsi="Times New Roman"/>
          <w:sz w:val="22"/>
          <w:szCs w:val="22"/>
          <w:color w:val="auto"/>
        </w:rPr>
        <w:t>If you are unsure of OFS Adviser’s policy with respect to providing gifts in any circumstance, you should consult with a Compliance Officer.</w:t>
      </w:r>
    </w:p>
    <w:p>
      <w:pPr>
        <w:spacing w:after="0" w:line="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3. Receiving Business Gifts</w:t>
      </w:r>
    </w:p>
    <w:p>
      <w:pPr>
        <w:spacing w:after="0" w:line="156" w:lineRule="exact"/>
        <w:rPr>
          <w:sz w:val="20"/>
          <w:szCs w:val="20"/>
          <w:color w:val="auto"/>
        </w:rPr>
      </w:pPr>
    </w:p>
    <w:p>
      <w:pPr>
        <w:jc w:val="both"/>
        <w:ind w:firstLine="688"/>
        <w:spacing w:after="0" w:line="233" w:lineRule="auto"/>
        <w:rPr>
          <w:sz w:val="20"/>
          <w:szCs w:val="20"/>
          <w:color w:val="auto"/>
        </w:rPr>
      </w:pPr>
      <w:r>
        <w:rPr>
          <w:rFonts w:ascii="Times New Roman" w:cs="Times New Roman" w:eastAsia="Times New Roman" w:hAnsi="Times New Roman"/>
          <w:sz w:val="22"/>
          <w:szCs w:val="22"/>
          <w:color w:val="auto"/>
        </w:rPr>
        <w:t xml:space="preserve">No Supervised Person should obtain any material personal benefits or favors because of his or her position with the Firm. Each Supervised Person’s decisions on behalf of the Firm must be free from undue influence. Soliciting gifts from Outside Parties is strictly prohibited. A gift may include any services or merchandise of any kind or discounts on merchandise or services and other items of value. Supervised Persons are prohibited from receiving gifts of cash, cash equivalents (such as gift cards and gift certificates) and securities from Outside Parties. This policy does not prohibit the receipt of occasional or nominal non-cash gift items, such as holiday gifts, so long as the amount received by a Supervised Person from any one source over a calendar year does not exceed $250. </w:t>
      </w:r>
      <w:r>
        <w:rPr>
          <w:rFonts w:ascii="Times New Roman" w:cs="Times New Roman" w:eastAsia="Times New Roman" w:hAnsi="Times New Roman"/>
          <w:sz w:val="22"/>
          <w:szCs w:val="22"/>
          <w:b w:val="1"/>
          <w:bCs w:val="1"/>
          <w:color w:val="auto"/>
        </w:rPr>
        <w:t>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gift that will cause the total received by that Supervised Person from a single source to exceed $250 for the calendar year, and any additional gift thereafter received during the calendar year, requires preclearance by a Compliance Officer. Also, one of the following actions will generally be required: return the gift, donate the gift to charity or to OFS for a corporate raffle or keep the gift and write a check to charity for the difference between the fair market value of the gift and $250. </w:t>
      </w:r>
      <w:r>
        <w:rPr>
          <w:rFonts w:ascii="Times New Roman" w:cs="Times New Roman" w:eastAsia="Times New Roman" w:hAnsi="Times New Roman"/>
          <w:sz w:val="22"/>
          <w:szCs w:val="22"/>
          <w:color w:val="auto"/>
        </w:rPr>
        <w:t>Such requests should be submitted via the Firm’s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portal.</w:t>
      </w:r>
    </w:p>
    <w:p>
      <w:pPr>
        <w:spacing w:after="0" w:line="70" w:lineRule="exact"/>
        <w:rPr>
          <w:sz w:val="20"/>
          <w:szCs w:val="20"/>
          <w:color w:val="auto"/>
        </w:rPr>
      </w:pPr>
    </w:p>
    <w:p>
      <w:pPr>
        <w:jc w:val="both"/>
        <w:ind w:firstLine="688"/>
        <w:spacing w:after="0" w:line="246" w:lineRule="auto"/>
        <w:rPr>
          <w:sz w:val="20"/>
          <w:szCs w:val="20"/>
          <w:color w:val="auto"/>
        </w:rPr>
      </w:pPr>
      <w:r>
        <w:rPr>
          <w:rFonts w:ascii="Times New Roman" w:cs="Times New Roman" w:eastAsia="Times New Roman" w:hAnsi="Times New Roman"/>
          <w:sz w:val="22"/>
          <w:szCs w:val="22"/>
          <w:b w:val="1"/>
          <w:bCs w:val="1"/>
          <w:color w:val="auto"/>
        </w:rPr>
        <w:t>Gifts in any amount received by a Supervised Person from an Outside Party, except for gifts of nominal value (such as logo items, including pens, notepads, coffee mugs and baseball caps) must be disclosed in the Firm’s compliance portal at the time of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-33-</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40" w:right="899" w:bottom="1440" w:gutter="0" w:footer="0" w:header="0"/>
        </w:sectPr>
      </w:pPr>
    </w:p>
    <w:bookmarkStart w:id="101" w:name="page102"/>
    <w:bookmarkEnd w:id="101"/>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5490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9">
                      <a:extLst>
                        <a:ext uri="{28A0092B-C50C-407E-A947-70E740481C1C}"/>
                      </a:extLst>
                    </a:blip>
                    <a:srcRect/>
                    <a:stretch>
                      <a:fillRect/>
                    </a:stretch>
                  </pic:blipFill>
                  <pic:spPr bwMode="auto">
                    <a:xfrm>
                      <a:off x="0" y="0"/>
                      <a:ext cx="7136130" cy="854900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22"/>
          <w:szCs w:val="22"/>
          <w:b w:val="1"/>
          <w:bCs w:val="1"/>
          <w:color w:val="auto"/>
        </w:rPr>
        <w:t>4. Entertainment</w:t>
      </w:r>
    </w:p>
    <w:p>
      <w:pPr>
        <w:spacing w:after="0" w:line="156" w:lineRule="exact"/>
        <w:rPr>
          <w:sz w:val="20"/>
          <w:szCs w:val="20"/>
          <w:color w:val="auto"/>
        </w:rPr>
      </w:pPr>
    </w:p>
    <w:p>
      <w:pPr>
        <w:jc w:val="both"/>
        <w:ind w:firstLine="688"/>
        <w:spacing w:after="0" w:line="234" w:lineRule="auto"/>
        <w:rPr>
          <w:sz w:val="20"/>
          <w:szCs w:val="20"/>
          <w:color w:val="auto"/>
        </w:rPr>
      </w:pPr>
      <w:r>
        <w:rPr>
          <w:rFonts w:ascii="Times New Roman" w:cs="Times New Roman" w:eastAsia="Times New Roman" w:hAnsi="Times New Roman"/>
          <w:sz w:val="22"/>
          <w:szCs w:val="22"/>
          <w:color w:val="auto"/>
        </w:rPr>
        <w:t>The gift policies above are not intended to prohibit the acceptance or provision of non- extravagant entertainment that facilitates the handling of the Firm’s business. Business entertainment (e.g., concerts, exhibitions or sporting events, where the person providing the entertainment is present), that is not frequent or “lavish” and does not influence the selection of vendors or other Outside Parties, is acceptable. Entertainment received by a Supervised Person where the outside party providing the entertainment is not in attendance is considered a “gift.” From time to time, an employee may have the opportunity to invite a guest to a business entertainment event hosted by an Outside Party – the guest’s ticket is considered as a “gift” for purposes of this policy. Business meals are not considered entertainment for purposes of this Policy (see Section IV.B. 1. “Business Meals” above for additional information).</w:t>
      </w:r>
    </w:p>
    <w:p>
      <w:pPr>
        <w:spacing w:after="0" w:line="75" w:lineRule="exact"/>
        <w:rPr>
          <w:sz w:val="20"/>
          <w:szCs w:val="20"/>
          <w:color w:val="auto"/>
        </w:rPr>
      </w:pPr>
    </w:p>
    <w:p>
      <w:pPr>
        <w:jc w:val="both"/>
        <w:ind w:firstLine="688"/>
        <w:spacing w:after="0" w:line="235" w:lineRule="auto"/>
        <w:rPr>
          <w:sz w:val="20"/>
          <w:szCs w:val="20"/>
          <w:color w:val="auto"/>
        </w:rPr>
      </w:pPr>
      <w:r>
        <w:rPr>
          <w:rFonts w:ascii="Times New Roman" w:cs="Times New Roman" w:eastAsia="Times New Roman" w:hAnsi="Times New Roman"/>
          <w:sz w:val="22"/>
          <w:szCs w:val="22"/>
          <w:color w:val="auto"/>
        </w:rPr>
        <w:t xml:space="preserve">No Supervised Person may provide or accept extravagant or excessive entertainment to or from an Outside Party. </w:t>
      </w:r>
      <w:r>
        <w:rPr>
          <w:rFonts w:ascii="Times New Roman" w:cs="Times New Roman" w:eastAsia="Times New Roman" w:hAnsi="Times New Roman"/>
          <w:sz w:val="22"/>
          <w:szCs w:val="22"/>
          <w:b w:val="1"/>
          <w:bCs w:val="1"/>
          <w:color w:val="auto"/>
        </w:rPr>
        <w:t>Any entertainment that a Supervised Person reasonably expects to exceed $1,000 in market value per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 must be pre-approved by a Compliance Officer</w:t>
      </w:r>
      <w:r>
        <w:rPr>
          <w:rFonts w:ascii="Times New Roman" w:cs="Times New Roman" w:eastAsia="Times New Roman" w:hAnsi="Times New Roman"/>
          <w:sz w:val="22"/>
          <w:szCs w:val="22"/>
          <w:color w:val="auto"/>
        </w:rPr>
        <w:t>. Also, if the entertainment provided by the Supervised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is part of an entertainment program (e.g., purchasing season box seats, where multiple events are scheduled over multiple dates, for multiple Outside Parties), and although the market value per person may be below the $1000 limit, these programs must also be approved in advance by a Compliance Officer. Further, entertainment of any value to be provided to Public Officials requires pre-approval from a Compliance Officer. Such requests should be submitted via the Firm’s compliance portal.</w:t>
      </w:r>
    </w:p>
    <w:p>
      <w:pPr>
        <w:spacing w:after="0" w:line="66" w:lineRule="exact"/>
        <w:rPr>
          <w:sz w:val="20"/>
          <w:szCs w:val="20"/>
          <w:color w:val="auto"/>
        </w:rPr>
      </w:pPr>
    </w:p>
    <w:p>
      <w:pPr>
        <w:jc w:val="both"/>
        <w:ind w:firstLine="688"/>
        <w:spacing w:after="0" w:line="246" w:lineRule="auto"/>
        <w:rPr>
          <w:sz w:val="20"/>
          <w:szCs w:val="20"/>
          <w:color w:val="auto"/>
        </w:rPr>
      </w:pPr>
      <w:r>
        <w:rPr>
          <w:rFonts w:ascii="Times New Roman" w:cs="Times New Roman" w:eastAsia="Times New Roman" w:hAnsi="Times New Roman"/>
          <w:sz w:val="22"/>
          <w:szCs w:val="22"/>
          <w:b w:val="1"/>
          <w:bCs w:val="1"/>
          <w:color w:val="auto"/>
        </w:rPr>
        <w:t>A Supervised Person receiving entertainment in an amount less than the $1,000 limit must disclose the entertainment via the Firm’s compliance portal. The disclosure should be made no later than 30 calendar days of the date of participating in such event.</w:t>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5. Travel and Lodging</w:t>
      </w:r>
    </w:p>
    <w:p>
      <w:pPr>
        <w:spacing w:after="0" w:line="156" w:lineRule="exact"/>
        <w:rPr>
          <w:sz w:val="20"/>
          <w:szCs w:val="20"/>
          <w:color w:val="auto"/>
        </w:rPr>
      </w:pPr>
    </w:p>
    <w:p>
      <w:pPr>
        <w:jc w:val="both"/>
        <w:ind w:firstLine="688"/>
        <w:spacing w:after="0" w:line="239" w:lineRule="auto"/>
        <w:rPr>
          <w:sz w:val="20"/>
          <w:szCs w:val="20"/>
          <w:color w:val="auto"/>
        </w:rPr>
      </w:pPr>
      <w:r>
        <w:rPr>
          <w:rFonts w:ascii="Times New Roman" w:cs="Times New Roman" w:eastAsia="Times New Roman" w:hAnsi="Times New Roman"/>
          <w:sz w:val="22"/>
          <w:szCs w:val="22"/>
          <w:color w:val="auto"/>
        </w:rPr>
        <w:t>Supervised Persons may occasionally be invited to conferences or other events by Outside Parties, which include an offer of travel and/or lodging. Employees must contact a Compliance Officer to obtain approval prior to accepting the travel and/or lodging. Requests to accept travel or lodging that appear to be extravagant or frequent in nature will generally be prohibited.</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6. Giving Gifts, Entertainment and Meals to Public Officials</w:t>
      </w:r>
    </w:p>
    <w:p>
      <w:pPr>
        <w:spacing w:after="0" w:line="156" w:lineRule="exact"/>
        <w:rPr>
          <w:sz w:val="20"/>
          <w:szCs w:val="20"/>
          <w:color w:val="auto"/>
        </w:rPr>
      </w:pPr>
    </w:p>
    <w:p>
      <w:pPr>
        <w:jc w:val="both"/>
        <w:ind w:firstLine="688"/>
        <w:spacing w:after="0" w:line="247" w:lineRule="auto"/>
        <w:rPr>
          <w:sz w:val="20"/>
          <w:szCs w:val="20"/>
          <w:color w:val="auto"/>
        </w:rPr>
      </w:pPr>
      <w:r>
        <w:rPr>
          <w:rFonts w:ascii="Times New Roman" w:cs="Times New Roman" w:eastAsia="Times New Roman" w:hAnsi="Times New Roman"/>
          <w:sz w:val="21"/>
          <w:szCs w:val="21"/>
          <w:color w:val="auto"/>
        </w:rPr>
        <w:t>Specific requirements and restrictions apply regarding the offering of meals, gifts and entertainment (including any food and beverages) to Public Officials and can vary depending on the governmental branch/body, state, or other jurisdiction. For example, many government pension plans place strict limits on the value of any meal provided by a service provider, such as the Firm, to the pension plans’ employees. Certain jurisdictions even ban service providers from providing anything of value to their public employees, including promotional items of nominal value. Penalties for violating these gift laws can range from monetary fines to disqualification from RFP participation and rescindment of existing investment mandates. Private unions are subject to Department of Labor gift rules and regulations and service providers, such as the Firm, must comply with prescribed limits and reporting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-34-</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40" w:right="899" w:bottom="1440" w:gutter="0" w:footer="0" w:header="0"/>
        </w:sectPr>
      </w:pPr>
    </w:p>
    <w:bookmarkStart w:id="102" w:name="page103"/>
    <w:bookmarkEnd w:id="10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5374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1">
                      <a:extLst>
                        <a:ext uri="{28A0092B-C50C-407E-A947-70E740481C1C}"/>
                      </a:extLst>
                    </a:blip>
                    <a:srcRect/>
                    <a:stretch>
                      <a:fillRect/>
                    </a:stretch>
                  </pic:blipFill>
                  <pic:spPr bwMode="auto">
                    <a:xfrm>
                      <a:off x="0" y="0"/>
                      <a:ext cx="7136130" cy="7537450"/>
                    </a:xfrm>
                    <a:prstGeom prst="rect">
                      <a:avLst/>
                    </a:prstGeom>
                    <a:noFill/>
                  </pic:spPr>
                </pic:pic>
              </a:graphicData>
            </a:graphic>
          </wp:anchor>
        </w:drawing>
      </w: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requirements when providing gifts and entertainment (including any food and beverages) to union employees. Accordingly, it is against Firm policy to offer or give gifts, entertainment (including any food and beverages), or anything of value to Public Officials or union officials or employees unless the regulations applicable to that individual permit acceptance of such items. </w:t>
      </w:r>
      <w:r>
        <w:rPr>
          <w:rFonts w:ascii="Times New Roman" w:cs="Times New Roman" w:eastAsia="Times New Roman" w:hAnsi="Times New Roman"/>
          <w:sz w:val="22"/>
          <w:szCs w:val="22"/>
          <w:b w:val="1"/>
          <w:bCs w:val="1"/>
          <w:color w:val="auto"/>
        </w:rPr>
        <w:t>Further, Supervised Persons are required to obtain preclearance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from a Compliance Officer to offer or give anything of value, including nominal items or snacks, to Public Officials or union officials or employees. </w:t>
      </w:r>
      <w:r>
        <w:rPr>
          <w:rFonts w:ascii="Times New Roman" w:cs="Times New Roman" w:eastAsia="Times New Roman" w:hAnsi="Times New Roman"/>
          <w:sz w:val="22"/>
          <w:szCs w:val="22"/>
          <w:color w:val="auto"/>
        </w:rPr>
        <w:t>Such requests for prior approval should be submitted via the Firm’s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compliance portal.</w:t>
      </w:r>
    </w:p>
    <w:p>
      <w:pPr>
        <w:spacing w:after="0" w:line="75" w:lineRule="exact"/>
        <w:rPr>
          <w:sz w:val="20"/>
          <w:szCs w:val="20"/>
          <w:color w:val="auto"/>
        </w:rPr>
      </w:pPr>
    </w:p>
    <w:p>
      <w:pPr>
        <w:jc w:val="both"/>
        <w:ind w:firstLine="688"/>
        <w:spacing w:after="0" w:line="236" w:lineRule="auto"/>
        <w:rPr>
          <w:sz w:val="20"/>
          <w:szCs w:val="20"/>
          <w:color w:val="auto"/>
        </w:rPr>
      </w:pPr>
      <w:r>
        <w:rPr>
          <w:rFonts w:ascii="Times New Roman" w:cs="Times New Roman" w:eastAsia="Times New Roman" w:hAnsi="Times New Roman"/>
          <w:sz w:val="22"/>
          <w:szCs w:val="22"/>
          <w:color w:val="auto"/>
        </w:rPr>
        <w:t>If you plan to contact a Public Official for the first time in order to solicit business or to request that any action or decision be made by a Public Official or its affiliated public body, you may need to register as a lobbyist. Many states and other local jurisdictions have enacted lobbying laws that can vary in how they define “lobbying” and registration as a “lobbyist” is required. Further, in the event that you are required to register as a lobbyist, you will likely be subject to lower gift and entertainment limits. Accordingly, you should contact Compliance for further guidance prior to initial contact with Public Officials.</w:t>
      </w:r>
    </w:p>
    <w:p>
      <w:pPr>
        <w:spacing w:after="0" w:line="73" w:lineRule="exact"/>
        <w:rPr>
          <w:sz w:val="20"/>
          <w:szCs w:val="20"/>
          <w:color w:val="auto"/>
        </w:rPr>
      </w:pPr>
    </w:p>
    <w:p>
      <w:pPr>
        <w:jc w:val="both"/>
        <w:ind w:firstLine="688"/>
        <w:spacing w:after="0" w:line="244" w:lineRule="auto"/>
        <w:rPr>
          <w:sz w:val="20"/>
          <w:szCs w:val="20"/>
          <w:color w:val="auto"/>
        </w:rPr>
      </w:pPr>
      <w:r>
        <w:rPr>
          <w:rFonts w:ascii="Times New Roman" w:cs="Times New Roman" w:eastAsia="Times New Roman" w:hAnsi="Times New Roman"/>
          <w:sz w:val="22"/>
          <w:szCs w:val="22"/>
          <w:color w:val="auto"/>
        </w:rPr>
        <w:t>If you are unsure of applicable laws, rules, and regulations with respect to providing gifts, meals and entertainment (including any food or beverages) to Public Officials or union official or employees in any circumstance, you should consult with a Compliance Officer.</w:t>
      </w:r>
    </w:p>
    <w:p>
      <w:pPr>
        <w:spacing w:after="0" w:line="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7. Receiving Gifts or Entertainment from Traders or Brokers/Agent Bank Employees</w:t>
      </w:r>
    </w:p>
    <w:p>
      <w:pPr>
        <w:spacing w:after="0" w:line="156" w:lineRule="exact"/>
        <w:rPr>
          <w:sz w:val="20"/>
          <w:szCs w:val="20"/>
          <w:color w:val="auto"/>
        </w:rPr>
      </w:pPr>
    </w:p>
    <w:p>
      <w:pPr>
        <w:jc w:val="both"/>
        <w:ind w:firstLine="688"/>
        <w:spacing w:after="0" w:line="238" w:lineRule="auto"/>
        <w:rPr>
          <w:sz w:val="20"/>
          <w:szCs w:val="20"/>
          <w:color w:val="auto"/>
        </w:rPr>
      </w:pPr>
      <w:r>
        <w:rPr>
          <w:rFonts w:ascii="Times New Roman" w:cs="Times New Roman" w:eastAsia="Times New Roman" w:hAnsi="Times New Roman"/>
          <w:sz w:val="22"/>
          <w:szCs w:val="22"/>
          <w:color w:val="auto"/>
        </w:rPr>
        <w:t>Traders or other investment professionals with the ability to influence the selection of brokers/agent banks with respect to trading in Securities and broadly syndicated loans are prohibited from receiving meals over $250 and gifts or entertainment of any value from an employee of such broker/agent bank without submitting a preclearance request and receiving preapproval from Compliance. Such request for pre-approval should be submitted via the Firm’s compliance portal.</w:t>
      </w:r>
    </w:p>
    <w:p>
      <w:pPr>
        <w:spacing w:after="0" w:line="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8. Charitable Contributions</w:t>
      </w:r>
    </w:p>
    <w:p>
      <w:pPr>
        <w:spacing w:after="0" w:line="1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The following charitable contributions require preclearance by a Compliance Officer:</w:t>
      </w:r>
    </w:p>
    <w:p>
      <w:pPr>
        <w:spacing w:after="0" w:line="148" w:lineRule="exact"/>
        <w:rPr>
          <w:sz w:val="20"/>
          <w:szCs w:val="20"/>
          <w:color w:val="auto"/>
        </w:rPr>
      </w:pPr>
    </w:p>
    <w:p>
      <w:pPr>
        <w:ind w:left="68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color w:val="auto"/>
        </w:rPr>
        <w:t>Charitable contributions by OFS Advisers and/or its affiliated operating entities</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jc w:val="both"/>
        <w:ind w:firstLine="688"/>
        <w:spacing w:after="0" w:line="244" w:lineRule="auto"/>
        <w:rPr>
          <w:sz w:val="20"/>
          <w:szCs w:val="20"/>
          <w:color w:val="auto"/>
        </w:rPr>
      </w:pPr>
      <w:r>
        <w:rPr>
          <w:rFonts w:ascii="Times New Roman" w:cs="Times New Roman" w:eastAsia="Times New Roman" w:hAnsi="Times New Roman"/>
          <w:sz w:val="22"/>
          <w:szCs w:val="22"/>
          <w:color w:val="auto"/>
        </w:rPr>
        <w:t>Such contributions may be permissible only with the approval of Senior Management and requested through the Firm’s compliance portal. The Compliance Officer will consult with Senior Management if such requests are not initiated by a member of Senior Management.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-35-</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40" w:right="899" w:bottom="1440" w:gutter="0" w:footer="0" w:header="0"/>
        </w:sectPr>
      </w:pPr>
    </w:p>
    <w:bookmarkStart w:id="103" w:name="page104"/>
    <w:bookmarkEnd w:id="103"/>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6175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3">
                      <a:extLst>
                        <a:ext uri="{28A0092B-C50C-407E-A947-70E740481C1C}"/>
                      </a:extLst>
                    </a:blip>
                    <a:srcRect/>
                    <a:stretch>
                      <a:fillRect/>
                    </a:stretch>
                  </pic:blipFill>
                  <pic:spPr bwMode="auto">
                    <a:xfrm>
                      <a:off x="0" y="0"/>
                      <a:ext cx="7136130" cy="8617585"/>
                    </a:xfrm>
                    <a:prstGeom prst="rect">
                      <a:avLst/>
                    </a:prstGeom>
                    <a:noFill/>
                  </pic:spPr>
                </pic:pic>
              </a:graphicData>
            </a:graphic>
          </wp:anchor>
        </w:drawing>
      </w:r>
    </w:p>
    <w:p>
      <w:pPr>
        <w:ind w:left="689"/>
        <w:spacing w:after="0"/>
        <w:rPr>
          <w:sz w:val="20"/>
          <w:szCs w:val="20"/>
          <w:color w:val="auto"/>
        </w:rPr>
      </w:pPr>
      <w:r>
        <w:rPr>
          <w:rFonts w:ascii="Times New Roman" w:cs="Times New Roman" w:eastAsia="Times New Roman" w:hAnsi="Times New Roman"/>
          <w:sz w:val="22"/>
          <w:szCs w:val="22"/>
          <w:b w:val="1"/>
          <w:bCs w:val="1"/>
          <w:color w:val="auto"/>
        </w:rPr>
        <w:t>8.2. Charitable contributions by OFS Funds, separately managed accounts and investment vehicles</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left="9" w:firstLine="688"/>
        <w:spacing w:after="0" w:line="238" w:lineRule="auto"/>
        <w:rPr>
          <w:sz w:val="20"/>
          <w:szCs w:val="20"/>
          <w:color w:val="auto"/>
        </w:rPr>
      </w:pPr>
      <w:r>
        <w:rPr>
          <w:rFonts w:ascii="Times New Roman" w:cs="Times New Roman" w:eastAsia="Times New Roman" w:hAnsi="Times New Roman"/>
          <w:sz w:val="22"/>
          <w:szCs w:val="22"/>
          <w:color w:val="auto"/>
        </w:rPr>
        <w:t>Such contributions generally must, at a minimum: (1) provide a direct benefit to the contributing entity; (2) require the preliminary approval of the Senior Managing Director; and (3) be consistent with the contributing entity’s governing documents. If the proposed contribution amount exceeds the entity’s applicable budget, a member of Senior Management must also approve the contribution prior to submitting a preclearance request through the Firm’s compliance portal.</w:t>
      </w:r>
    </w:p>
    <w:p>
      <w:pPr>
        <w:spacing w:after="0" w:line="65" w:lineRule="exact"/>
        <w:rPr>
          <w:sz w:val="20"/>
          <w:szCs w:val="20"/>
          <w:color w:val="auto"/>
        </w:rPr>
      </w:pPr>
    </w:p>
    <w:p>
      <w:pPr>
        <w:jc w:val="both"/>
        <w:ind w:left="9" w:firstLine="688"/>
        <w:spacing w:after="0" w:line="262" w:lineRule="auto"/>
        <w:rPr>
          <w:sz w:val="20"/>
          <w:szCs w:val="20"/>
          <w:color w:val="auto"/>
        </w:rPr>
      </w:pPr>
      <w:r>
        <w:rPr>
          <w:rFonts w:ascii="Times New Roman" w:cs="Times New Roman" w:eastAsia="Times New Roman" w:hAnsi="Times New Roman"/>
          <w:sz w:val="22"/>
          <w:szCs w:val="22"/>
          <w:b w:val="1"/>
          <w:bCs w:val="1"/>
          <w:color w:val="auto"/>
        </w:rPr>
        <w:t>8.3. Charitable contributions by an employee, at the request or for the benefit of a Public Official or a Public Official’s immediate family member or close associate</w:t>
      </w:r>
      <w:r>
        <w:rPr>
          <w:rFonts w:ascii="Times New Roman" w:cs="Times New Roman" w:eastAsia="Times New Roman" w:hAnsi="Times New Roman"/>
          <w:sz w:val="22"/>
          <w:szCs w:val="22"/>
          <w:color w:val="auto"/>
        </w:rPr>
        <w:t>.</w:t>
      </w:r>
    </w:p>
    <w:p>
      <w:pPr>
        <w:spacing w:after="0" w:line="46" w:lineRule="exact"/>
        <w:rPr>
          <w:sz w:val="20"/>
          <w:szCs w:val="20"/>
          <w:color w:val="auto"/>
        </w:rPr>
      </w:pPr>
    </w:p>
    <w:p>
      <w:pPr>
        <w:jc w:val="both"/>
        <w:ind w:left="9" w:right="20" w:firstLine="688"/>
        <w:spacing w:after="0" w:line="258" w:lineRule="auto"/>
        <w:rPr>
          <w:sz w:val="20"/>
          <w:szCs w:val="20"/>
          <w:color w:val="auto"/>
        </w:rPr>
      </w:pPr>
      <w:r>
        <w:rPr>
          <w:rFonts w:ascii="Times New Roman" w:cs="Times New Roman" w:eastAsia="Times New Roman" w:hAnsi="Times New Roman"/>
          <w:sz w:val="22"/>
          <w:szCs w:val="22"/>
          <w:color w:val="auto"/>
        </w:rPr>
        <w:t>Such contributions may be permissible only if the Compliance Officer can reasonably conclude that the contribution is lawful, ethical and in compliance with the policies and standards under this Code.</w:t>
      </w:r>
    </w:p>
    <w:p>
      <w:pPr>
        <w:spacing w:after="0" w:line="50" w:lineRule="exact"/>
        <w:rPr>
          <w:sz w:val="20"/>
          <w:szCs w:val="20"/>
          <w:color w:val="auto"/>
        </w:rPr>
      </w:pPr>
    </w:p>
    <w:p>
      <w:pPr>
        <w:jc w:val="both"/>
        <w:ind w:left="9" w:firstLine="688"/>
        <w:spacing w:after="0" w:line="238" w:lineRule="auto"/>
        <w:rPr>
          <w:sz w:val="20"/>
          <w:szCs w:val="20"/>
          <w:color w:val="auto"/>
        </w:rPr>
      </w:pPr>
      <w:r>
        <w:rPr>
          <w:rFonts w:ascii="Times New Roman" w:cs="Times New Roman" w:eastAsia="Times New Roman" w:hAnsi="Times New Roman"/>
          <w:sz w:val="22"/>
          <w:szCs w:val="22"/>
          <w:color w:val="auto"/>
        </w:rPr>
        <w:t>In all cases, unless an exception has been granted by a Compliance Officer, the beneficiary of the contribution must be an organization formed under section 501(c)(3) of the U.S. Internal Revenue Code or is otherwise operating exclusively as a non-profit civic charity that is not involved in any political or lobbying activity. Further, such contributions should never be used as bribes (i.e., to improperly influence or reward any action or decision for OFS’s benefit).</w:t>
      </w:r>
    </w:p>
    <w:p>
      <w:pPr>
        <w:spacing w:after="0" w:line="65" w:lineRule="exact"/>
        <w:rPr>
          <w:sz w:val="20"/>
          <w:szCs w:val="20"/>
          <w:color w:val="auto"/>
        </w:rPr>
      </w:pPr>
    </w:p>
    <w:p>
      <w:pPr>
        <w:jc w:val="both"/>
        <w:ind w:left="9" w:right="20" w:firstLine="688"/>
        <w:spacing w:after="0" w:line="262" w:lineRule="auto"/>
        <w:rPr>
          <w:sz w:val="20"/>
          <w:szCs w:val="20"/>
          <w:color w:val="auto"/>
        </w:rPr>
      </w:pPr>
      <w:r>
        <w:rPr>
          <w:rFonts w:ascii="Times New Roman" w:cs="Times New Roman" w:eastAsia="Times New Roman" w:hAnsi="Times New Roman"/>
          <w:sz w:val="22"/>
          <w:szCs w:val="22"/>
          <w:b w:val="1"/>
          <w:bCs w:val="1"/>
          <w:color w:val="auto"/>
        </w:rPr>
        <w:t>8.4 Charitable contributions of an in-kind Reportable Security by a Supervised Person or their Related Persons.</w:t>
      </w:r>
    </w:p>
    <w:p>
      <w:pPr>
        <w:spacing w:after="0" w:line="46" w:lineRule="exact"/>
        <w:rPr>
          <w:sz w:val="20"/>
          <w:szCs w:val="20"/>
          <w:color w:val="auto"/>
        </w:rPr>
      </w:pPr>
    </w:p>
    <w:p>
      <w:pPr>
        <w:jc w:val="both"/>
        <w:ind w:left="9" w:right="20" w:firstLine="688"/>
        <w:spacing w:after="0" w:line="258" w:lineRule="auto"/>
        <w:rPr>
          <w:sz w:val="20"/>
          <w:szCs w:val="20"/>
          <w:color w:val="auto"/>
        </w:rPr>
      </w:pPr>
      <w:r>
        <w:rPr>
          <w:rFonts w:ascii="Times New Roman" w:cs="Times New Roman" w:eastAsia="Times New Roman" w:hAnsi="Times New Roman"/>
          <w:sz w:val="22"/>
          <w:szCs w:val="22"/>
          <w:color w:val="auto"/>
        </w:rPr>
        <w:t>Such contributions are considered personal investment transactions that must follow the Personal Investment Policy and must be pre-cleared through the Firm’s compliance portal.</w:t>
      </w:r>
    </w:p>
    <w:p>
      <w:pPr>
        <w:spacing w:after="0" w:line="46" w:lineRule="exact"/>
        <w:rPr>
          <w:sz w:val="20"/>
          <w:szCs w:val="20"/>
          <w:color w:val="auto"/>
        </w:rPr>
      </w:pPr>
    </w:p>
    <w:p>
      <w:pPr>
        <w:ind w:left="689" w:hanging="689"/>
        <w:spacing w:after="0"/>
        <w:tabs>
          <w:tab w:leader="none" w:pos="689"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POLITICAL ACTIVITY POLICY</w:t>
      </w:r>
    </w:p>
    <w:p>
      <w:pPr>
        <w:spacing w:after="0" w:line="206"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22"/>
          <w:szCs w:val="22"/>
          <w:b w:val="1"/>
          <w:bCs w:val="1"/>
          <w:color w:val="auto"/>
        </w:rPr>
        <w:t>1. Introduction</w:t>
      </w:r>
    </w:p>
    <w:p>
      <w:pPr>
        <w:spacing w:after="0" w:line="156" w:lineRule="exact"/>
        <w:rPr>
          <w:sz w:val="20"/>
          <w:szCs w:val="20"/>
          <w:color w:val="auto"/>
        </w:rPr>
      </w:pPr>
    </w:p>
    <w:p>
      <w:pPr>
        <w:jc w:val="both"/>
        <w:ind w:left="9" w:firstLine="688"/>
        <w:spacing w:after="0" w:line="222" w:lineRule="auto"/>
        <w:rPr>
          <w:sz w:val="20"/>
          <w:szCs w:val="20"/>
          <w:color w:val="auto"/>
        </w:rPr>
      </w:pPr>
      <w:r>
        <w:rPr>
          <w:rFonts w:ascii="Times New Roman" w:cs="Times New Roman" w:eastAsia="Times New Roman" w:hAnsi="Times New Roman"/>
          <w:sz w:val="22"/>
          <w:szCs w:val="22"/>
          <w:color w:val="auto"/>
        </w:rPr>
        <w:t>Under Rule 206(4)-5 of the Advisers Act, the SEC, along with certain states, municipalities and public pension plans, have adopted regulations limiting or completely disqualifying investment advisers from providing services to, or accepting placements from, a government entity if certain political contributions</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22"/>
          <w:szCs w:val="22"/>
          <w:color w:val="auto"/>
        </w:rPr>
        <w:t xml:space="preserve"> are made or solicited</w:t>
      </w:r>
      <w:r>
        <w:rPr>
          <w:rFonts w:ascii="Times New Roman" w:cs="Times New Roman" w:eastAsia="Times New Roman" w:hAnsi="Times New Roman"/>
          <w:sz w:val="28"/>
          <w:szCs w:val="28"/>
          <w:color w:val="auto"/>
          <w:vertAlign w:val="superscript"/>
        </w:rPr>
        <w:t>13</w:t>
      </w:r>
      <w:r>
        <w:rPr>
          <w:rFonts w:ascii="Times New Roman" w:cs="Times New Roman" w:eastAsia="Times New Roman" w:hAnsi="Times New Roman"/>
          <w:sz w:val="22"/>
          <w:szCs w:val="22"/>
          <w:color w:val="auto"/>
        </w:rPr>
        <w:t xml:space="preserve"> by the Firm, certain of its Supervised Persons (i.e. covered associates), or, in some instances, a covered associate’s Related Persons. Under these “pay to play” regulations, a single prohibited political contribution to a candidate or officeholder, political party, political action committee or other political organization at practically every level of government</w:t>
      </w:r>
    </w:p>
    <w:p>
      <w:pPr>
        <w:spacing w:after="0" w:line="278" w:lineRule="exact"/>
        <w:rPr>
          <w:sz w:val="20"/>
          <w:szCs w:val="20"/>
          <w:color w:val="auto"/>
        </w:rPr>
      </w:pPr>
    </w:p>
    <w:p>
      <w:pPr>
        <w:jc w:val="both"/>
        <w:ind w:left="409" w:right="20" w:hanging="405"/>
        <w:spacing w:after="0"/>
        <w:tabs>
          <w:tab w:leader="none" w:pos="392"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Contributions include cash, checks, gifts, subscriptions, loans, advances, deposits of money, “in kind” contributions (e.g., the provision of free professional services) or anything else of value provided for the purpose of influencing an election for a federal, state or local office, including any payments for debts incurred in such an election.</w:t>
      </w:r>
    </w:p>
    <w:p>
      <w:pPr>
        <w:spacing w:after="0" w:line="332" w:lineRule="exact"/>
        <w:rPr>
          <w:rFonts w:ascii="Times New Roman" w:cs="Times New Roman" w:eastAsia="Times New Roman" w:hAnsi="Times New Roman"/>
          <w:sz w:val="24"/>
          <w:szCs w:val="24"/>
          <w:color w:val="auto"/>
          <w:vertAlign w:val="superscript"/>
        </w:rPr>
      </w:pPr>
    </w:p>
    <w:p>
      <w:pPr>
        <w:ind w:left="409" w:right="20" w:hanging="405"/>
        <w:spacing w:after="0" w:line="199" w:lineRule="auto"/>
        <w:tabs>
          <w:tab w:leader="none" w:pos="392"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Solicitation of contributions encompasses any fundraising activity on behalf of a candidate, campaign or political organization, including direct solicitation, hosting of events and/or aggregating, coordinating or “bundling” the contributions of others.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-36-</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104" w:name="page105"/>
    <w:bookmarkEnd w:id="10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6690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5">
                      <a:extLst>
                        <a:ext uri="{28A0092B-C50C-407E-A947-70E740481C1C}"/>
                      </a:extLst>
                    </a:blip>
                    <a:srcRect/>
                    <a:stretch>
                      <a:fillRect/>
                    </a:stretch>
                  </pic:blipFill>
                  <pic:spPr bwMode="auto">
                    <a:xfrm>
                      <a:off x="0" y="0"/>
                      <a:ext cx="7136130" cy="8669020"/>
                    </a:xfrm>
                    <a:prstGeom prst="rect">
                      <a:avLst/>
                    </a:prstGeom>
                    <a:noFill/>
                  </pic:spPr>
                </pic:pic>
              </a:graphicData>
            </a:graphic>
          </wp:anchor>
        </w:drawing>
      </w:r>
    </w:p>
    <w:p>
      <w:pPr>
        <w:jc w:val="both"/>
        <w:spacing w:after="0" w:line="244" w:lineRule="auto"/>
        <w:rPr>
          <w:sz w:val="20"/>
          <w:szCs w:val="20"/>
          <w:color w:val="auto"/>
        </w:rPr>
      </w:pPr>
      <w:r>
        <w:rPr>
          <w:rFonts w:ascii="Times New Roman" w:cs="Times New Roman" w:eastAsia="Times New Roman" w:hAnsi="Times New Roman"/>
          <w:sz w:val="22"/>
          <w:szCs w:val="22"/>
          <w:color w:val="auto"/>
        </w:rPr>
        <w:t>(including local, state and federal) may preclude the Firm from providing services to, or accepting placements from, the applicable government entity and may compel the firm to repay compensation received by the Firm for with such services or placements.</w:t>
      </w:r>
    </w:p>
    <w:p>
      <w:pPr>
        <w:spacing w:after="0" w:line="61" w:lineRule="exact"/>
        <w:rPr>
          <w:sz w:val="20"/>
          <w:szCs w:val="20"/>
          <w:color w:val="auto"/>
        </w:rPr>
      </w:pPr>
    </w:p>
    <w:p>
      <w:pPr>
        <w:ind w:right="200" w:firstLine="1120"/>
        <w:spacing w:after="0" w:line="237" w:lineRule="auto"/>
        <w:rPr>
          <w:sz w:val="20"/>
          <w:szCs w:val="20"/>
          <w:color w:val="auto"/>
        </w:rPr>
      </w:pPr>
      <w:r>
        <w:rPr>
          <w:rFonts w:ascii="Times New Roman" w:cs="Times New Roman" w:eastAsia="Times New Roman" w:hAnsi="Times New Roman"/>
          <w:sz w:val="22"/>
          <w:szCs w:val="22"/>
          <w:b w:val="1"/>
          <w:bCs w:val="1"/>
          <w:color w:val="auto"/>
        </w:rPr>
        <w:t>OFS Adviser and its Affiliates (other than natural persons, as provided below) generally do not make or solicit contributions in any amount to any federal, state, county or local political campaign, candidate or officeholder, or any political organization (e.g., political party committee and political action committee (“PAC”)). As such, Supervised Persons are prohibited from making or soliciting contributions in the name of or on behalf of OFS Advisers and/or its Affiliates unless otherwise approved by the Compliance Department and a member of Senior Management.</w:t>
      </w:r>
    </w:p>
    <w:p>
      <w:pPr>
        <w:spacing w:after="0" w:line="67" w:lineRule="exact"/>
        <w:rPr>
          <w:sz w:val="20"/>
          <w:szCs w:val="20"/>
          <w:color w:val="auto"/>
        </w:rPr>
      </w:pPr>
    </w:p>
    <w:p>
      <w:pPr>
        <w:jc w:val="both"/>
        <w:ind w:firstLine="68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No Supervised Person of the Firm or his/her Related Persons may engage in any Political Activity for any federal, state, county, or local political campaign, candidate or officeholder, or any political organizations (e.g., political party committee, political action committee), without the prior written approval of a Compliance Officer. Such requests should be submitted via the Firm’s compliance portal. </w:t>
      </w:r>
      <w:r>
        <w:rPr>
          <w:rFonts w:ascii="Times New Roman" w:cs="Times New Roman" w:eastAsia="Times New Roman" w:hAnsi="Times New Roman"/>
          <w:sz w:val="22"/>
          <w:szCs w:val="22"/>
          <w:color w:val="auto"/>
        </w:rPr>
        <w:t>“Political Activity”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purpose of this Policy is defined as monetary or in-kind campaign contributions to, or for the benefit of, any government official, candidate running for office, political party or legislative leadership, politically active non-profit, ballot measure committee or PAC as well as the solicitation and coordination of campaign contributions. Volunteering for a campaign that does not include solicitation or coordination of campaign contributions does not require pre- approval.</w:t>
      </w:r>
    </w:p>
    <w:p>
      <w:pPr>
        <w:spacing w:after="0" w:line="70" w:lineRule="exact"/>
        <w:rPr>
          <w:sz w:val="20"/>
          <w:szCs w:val="20"/>
          <w:color w:val="auto"/>
        </w:rPr>
      </w:pPr>
    </w:p>
    <w:p>
      <w:pPr>
        <w:jc w:val="both"/>
        <w:ind w:firstLine="688"/>
        <w:spacing w:after="0" w:line="232" w:lineRule="auto"/>
        <w:rPr>
          <w:sz w:val="20"/>
          <w:szCs w:val="20"/>
          <w:color w:val="auto"/>
        </w:rPr>
      </w:pPr>
      <w:r>
        <w:rPr>
          <w:rFonts w:ascii="Times New Roman" w:cs="Times New Roman" w:eastAsia="Times New Roman" w:hAnsi="Times New Roman"/>
          <w:sz w:val="22"/>
          <w:szCs w:val="22"/>
          <w:color w:val="auto"/>
        </w:rPr>
        <w:t>A Supervised Person and their Related Persons wishing to engage in a Political Activity must submit a Political Activity pre-clearance request on behalf of the Supervised Person (or his or her Related Person) through the Firm’s compliance portal prior to engaging in Political Activity, and such submission must include all pertinent information related to the proposed activity, including, but not limited to, the individual wishing to contribute, amount of the contribution, the name of the intended recipient, the nature of the recipient’s candidacy, whether the proposed recipient holds an existing political office (whether local, state or federal), and whether the Supervised Person (or his or her Related Person, where applicable) is legally entitled to vote for the proposed recipient. Because of the serious nature of the sanctions applicable to a pay to play violation, requests to engage in Political Activity for candidates seeking election to state and local offices will generally be limited, depending on whether a Supervised Person is legally entitled to vote for the candidate. As such, requests to donate to state or local candidates and officials may be approved up to $350, where the Supervised Person is legally entitled to vote for the candidate, and is limited to $150 or less, where a Supervised Person is not legally entitled to vote for the candidate or where the relevant jurisdiction imposes more restrictive limits. Once approved, Supervised Persons and/or their Related Persons (as applicable) must make the contribution within 60 days of the approval date, unless otherwise noted by Compliance. If the Political Activity is not completed within this time frame, a new preclearance request must be submitted. In addition, if the proposed Political Activity is a monetary contribution, Supervised Persons are responsible for ensuring that the contribution is made solely towards the political campaign or candidate for which it is approved.</w:t>
      </w:r>
    </w:p>
    <w:p>
      <w:pPr>
        <w:spacing w:after="0" w:line="80" w:lineRule="exact"/>
        <w:rPr>
          <w:sz w:val="20"/>
          <w:szCs w:val="20"/>
          <w:color w:val="auto"/>
        </w:rPr>
      </w:pPr>
    </w:p>
    <w:p>
      <w:pPr>
        <w:jc w:val="both"/>
        <w:ind w:right="20" w:firstLine="688"/>
        <w:spacing w:after="0" w:line="258" w:lineRule="auto"/>
        <w:rPr>
          <w:sz w:val="20"/>
          <w:szCs w:val="20"/>
          <w:color w:val="auto"/>
        </w:rPr>
      </w:pPr>
      <w:r>
        <w:rPr>
          <w:rFonts w:ascii="Times New Roman" w:cs="Times New Roman" w:eastAsia="Times New Roman" w:hAnsi="Times New Roman"/>
          <w:sz w:val="22"/>
          <w:szCs w:val="22"/>
          <w:color w:val="auto"/>
        </w:rPr>
        <w:t>The Firm expects that every Supervised Person will explain the importance of compliance with this policy to his/her Related Persons, and ensure their clear understanding of the obligation to follow</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-37-</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40" w:right="899" w:bottom="1440" w:gutter="0" w:footer="0" w:header="0"/>
        </w:sectPr>
      </w:pPr>
    </w:p>
    <w:bookmarkStart w:id="105" w:name="page106"/>
    <w:bookmarkEnd w:id="105"/>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56515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7">
                      <a:extLst>
                        <a:ext uri="{28A0092B-C50C-407E-A947-70E740481C1C}"/>
                      </a:extLst>
                    </a:blip>
                    <a:srcRect/>
                    <a:stretch>
                      <a:fillRect/>
                    </a:stretch>
                  </pic:blipFill>
                  <pic:spPr bwMode="auto">
                    <a:xfrm>
                      <a:off x="0" y="0"/>
                      <a:ext cx="7136130" cy="5651500"/>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21"/>
          <w:szCs w:val="21"/>
          <w:color w:val="auto"/>
        </w:rPr>
        <w:t>these requirements. Moreover, the applicable laws in this area are complex and a trap for the unwary - no Supervised Person should attempt to decide for himself or herself whether a Political Activity is prohibited or permissible. Supervised Persons are responsible for complying with and tracking their own Political Activity limits.</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2. Indirect Violations</w:t>
      </w:r>
    </w:p>
    <w:p>
      <w:pPr>
        <w:spacing w:after="0" w:line="156" w:lineRule="exact"/>
        <w:rPr>
          <w:sz w:val="20"/>
          <w:szCs w:val="20"/>
          <w:color w:val="auto"/>
        </w:rPr>
      </w:pPr>
    </w:p>
    <w:p>
      <w:pPr>
        <w:jc w:val="both"/>
        <w:ind w:firstLine="688"/>
        <w:spacing w:after="0" w:line="235" w:lineRule="auto"/>
        <w:rPr>
          <w:sz w:val="20"/>
          <w:szCs w:val="20"/>
          <w:color w:val="auto"/>
        </w:rPr>
      </w:pPr>
      <w:r>
        <w:rPr>
          <w:rFonts w:ascii="Times New Roman" w:cs="Times New Roman" w:eastAsia="Times New Roman" w:hAnsi="Times New Roman"/>
          <w:sz w:val="22"/>
          <w:szCs w:val="22"/>
          <w:color w:val="auto"/>
        </w:rPr>
        <w:t>The pay to play laws also prohibit actions taken indirectly that the Firm or its Supervised Persons could not take directly without violating the law. For example, it is improper and unlawful to provide funds to a third party (such as a consultant or attorney) with the understanding that the third party will use such funds to make an otherwise prohibited contribution. Such indirect violations may trigger disqualification of the Firm from receiving compensation and result in other sanctions, including possible criminal penalties. If any Supervised Person learns of facts and circumstances suggesting a possible indirect violation, that Supervised Person must report such facts and circumstances to a Compliance Officer immediately.</w:t>
      </w: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3. Periodic Disclosure</w:t>
      </w:r>
    </w:p>
    <w:p>
      <w:pPr>
        <w:spacing w:after="0" w:line="156" w:lineRule="exact"/>
        <w:rPr>
          <w:sz w:val="20"/>
          <w:szCs w:val="20"/>
          <w:color w:val="auto"/>
        </w:rPr>
      </w:pPr>
    </w:p>
    <w:p>
      <w:pPr>
        <w:jc w:val="both"/>
        <w:ind w:firstLine="688"/>
        <w:spacing w:after="0" w:line="236" w:lineRule="auto"/>
        <w:rPr>
          <w:sz w:val="20"/>
          <w:szCs w:val="20"/>
          <w:color w:val="auto"/>
        </w:rPr>
      </w:pPr>
      <w:r>
        <w:rPr>
          <w:rFonts w:ascii="Times New Roman" w:cs="Times New Roman" w:eastAsia="Times New Roman" w:hAnsi="Times New Roman"/>
          <w:sz w:val="22"/>
          <w:szCs w:val="22"/>
          <w:color w:val="auto"/>
        </w:rPr>
        <w:t>In order to ensure compliance with this policy, every Supervised Person must submit via the Firm’s compliance portal, an initial disclosure and certification setting forth all of their Political Activity by the Supervised Person and his/her Related Persons for the previous two (2) years or confirming that no such contributions have been made, prior to and at commencement of employment and/or first becoming a Supervised Person. Supervised Persons are also required to disclose and certify all Political Activity in which they or their Related Persons have engaged on a quarterly basis.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-38-</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40" w:right="899" w:bottom="1440" w:gutter="0" w:footer="0" w:header="0"/>
        </w:sectPr>
      </w:pPr>
    </w:p>
    <w:bookmarkStart w:id="106" w:name="page107"/>
    <w:bookmarkEnd w:id="106"/>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9832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9">
                      <a:extLst>
                        <a:ext uri="{28A0092B-C50C-407E-A947-70E740481C1C}"/>
                      </a:extLst>
                    </a:blip>
                    <a:srcRect/>
                    <a:stretch>
                      <a:fillRect/>
                    </a:stretch>
                  </pic:blipFill>
                  <pic:spPr bwMode="auto">
                    <a:xfrm>
                      <a:off x="0" y="0"/>
                      <a:ext cx="7136130" cy="7983220"/>
                    </a:xfrm>
                    <a:prstGeom prst="rect">
                      <a:avLst/>
                    </a:prstGeom>
                    <a:noFill/>
                  </pic:spPr>
                </pic:pic>
              </a:graphicData>
            </a:graphic>
          </wp:anchor>
        </w:drawing>
      </w:r>
    </w:p>
    <w:p>
      <w:pPr>
        <w:ind w:left="3189" w:hanging="683"/>
        <w:spacing w:after="0"/>
        <w:tabs>
          <w:tab w:leader="none" w:pos="3189" w:val="left"/>
        </w:tabs>
        <w:numPr>
          <w:ilvl w:val="1"/>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OUTSIDE AFFILIATIONS POLICY</w:t>
      </w:r>
    </w:p>
    <w:p>
      <w:pPr>
        <w:spacing w:after="0" w:line="206" w:lineRule="exact"/>
        <w:rPr>
          <w:rFonts w:ascii="Times New Roman" w:cs="Times New Roman" w:eastAsia="Times New Roman" w:hAnsi="Times New Roman"/>
          <w:sz w:val="22"/>
          <w:szCs w:val="22"/>
          <w:b w:val="1"/>
          <w:bCs w:val="1"/>
          <w:color w:val="auto"/>
        </w:rPr>
      </w:pPr>
    </w:p>
    <w:p>
      <w:pPr>
        <w:ind w:left="689" w:hanging="689"/>
        <w:spacing w:after="0"/>
        <w:tabs>
          <w:tab w:leader="none" w:pos="689"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OUTSIDE BUSINESS ACTIVITIES</w:t>
      </w:r>
    </w:p>
    <w:p>
      <w:pPr>
        <w:spacing w:after="0" w:line="210" w:lineRule="exact"/>
        <w:rPr>
          <w:rFonts w:ascii="Times New Roman" w:cs="Times New Roman" w:eastAsia="Times New Roman" w:hAnsi="Times New Roman"/>
          <w:sz w:val="22"/>
          <w:szCs w:val="22"/>
          <w:b w:val="1"/>
          <w:bCs w:val="1"/>
          <w:color w:val="auto"/>
        </w:rPr>
      </w:pPr>
    </w:p>
    <w:p>
      <w:pPr>
        <w:ind w:left="689"/>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From time to time, Supervised Persons may be asked and/or desire to own, work for or serve as a general</w:t>
      </w:r>
    </w:p>
    <w:p>
      <w:pPr>
        <w:spacing w:after="0" w:line="14" w:lineRule="exact"/>
        <w:rPr>
          <w:sz w:val="20"/>
          <w:szCs w:val="20"/>
          <w:color w:val="auto"/>
        </w:rPr>
      </w:pPr>
    </w:p>
    <w:p>
      <w:pPr>
        <w:jc w:val="both"/>
        <w:ind w:left="9"/>
        <w:spacing w:after="0" w:line="234" w:lineRule="auto"/>
        <w:rPr>
          <w:sz w:val="20"/>
          <w:szCs w:val="20"/>
          <w:color w:val="auto"/>
        </w:rPr>
      </w:pPr>
      <w:r>
        <w:rPr>
          <w:rFonts w:ascii="Times New Roman" w:cs="Times New Roman" w:eastAsia="Times New Roman" w:hAnsi="Times New Roman"/>
          <w:sz w:val="22"/>
          <w:szCs w:val="22"/>
          <w:color w:val="auto"/>
        </w:rPr>
        <w:t>partner, managing member, principal, proprietor, consultant, agent, representative, or employees of an outside organization for or without compensation, all of which are considered “Outside Business Activities”. These organizations may include, but are not limited to, public or private corporations, limited and general partnerships, family offices, endowments, and foundations.</w:t>
      </w:r>
    </w:p>
    <w:p>
      <w:pPr>
        <w:spacing w:after="0" w:line="69" w:lineRule="exact"/>
        <w:rPr>
          <w:sz w:val="20"/>
          <w:szCs w:val="20"/>
          <w:color w:val="auto"/>
        </w:rPr>
      </w:pPr>
    </w:p>
    <w:p>
      <w:pPr>
        <w:jc w:val="both"/>
        <w:ind w:left="9" w:firstLine="688"/>
        <w:spacing w:after="0" w:line="239" w:lineRule="auto"/>
        <w:rPr>
          <w:sz w:val="20"/>
          <w:szCs w:val="20"/>
          <w:color w:val="auto"/>
        </w:rPr>
      </w:pPr>
      <w:r>
        <w:rPr>
          <w:rFonts w:ascii="Times New Roman" w:cs="Times New Roman" w:eastAsia="Times New Roman" w:hAnsi="Times New Roman"/>
          <w:sz w:val="22"/>
          <w:szCs w:val="22"/>
          <w:color w:val="auto"/>
        </w:rPr>
        <w:t>In addition, Outside Business Activities may include a Supervised Person’s personal publications regarding credit investments or a Supervised Person’s personal use of social media for actual or intended monetary benefit. Examples of such publications or social media include, but are not limited to, printed articles, weblogs, video logs, You Tube, X, Instagram and TikTok.</w:t>
      </w:r>
    </w:p>
    <w:p>
      <w:pPr>
        <w:spacing w:after="0" w:line="72" w:lineRule="exact"/>
        <w:rPr>
          <w:sz w:val="20"/>
          <w:szCs w:val="20"/>
          <w:color w:val="auto"/>
        </w:rPr>
      </w:pPr>
    </w:p>
    <w:p>
      <w:pPr>
        <w:jc w:val="both"/>
        <w:ind w:left="9" w:firstLine="688"/>
        <w:spacing w:after="0" w:line="239" w:lineRule="auto"/>
        <w:rPr>
          <w:sz w:val="20"/>
          <w:szCs w:val="20"/>
          <w:color w:val="auto"/>
        </w:rPr>
      </w:pPr>
      <w:r>
        <w:rPr>
          <w:rFonts w:ascii="Times New Roman" w:cs="Times New Roman" w:eastAsia="Times New Roman" w:hAnsi="Times New Roman"/>
          <w:sz w:val="22"/>
          <w:szCs w:val="22"/>
          <w:color w:val="auto"/>
        </w:rPr>
        <w:t xml:space="preserve">Outside Business Activities may, however, create potential conflicts of interest and/or provide access to MNPI. In order for the Compliance Department to address these potential issues, </w:t>
      </w:r>
      <w:r>
        <w:rPr>
          <w:rFonts w:ascii="Times New Roman" w:cs="Times New Roman" w:eastAsia="Times New Roman" w:hAnsi="Times New Roman"/>
          <w:sz w:val="22"/>
          <w:szCs w:val="22"/>
          <w:b w:val="1"/>
          <w:bCs w:val="1"/>
          <w:color w:val="auto"/>
        </w:rPr>
        <w:t>Supervised Persons must obtain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prior approval from their supervisor and a Compliance Officer to engage in Outside Business Activities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should be requested through the Firm’s compliance portal.</w:t>
      </w:r>
    </w:p>
    <w:p>
      <w:pPr>
        <w:spacing w:after="0" w:line="72" w:lineRule="exact"/>
        <w:rPr>
          <w:sz w:val="20"/>
          <w:szCs w:val="20"/>
          <w:color w:val="auto"/>
        </w:rPr>
      </w:pPr>
    </w:p>
    <w:p>
      <w:pPr>
        <w:jc w:val="both"/>
        <w:ind w:left="9" w:firstLine="688"/>
        <w:spacing w:after="0" w:line="253" w:lineRule="auto"/>
        <w:rPr>
          <w:sz w:val="20"/>
          <w:szCs w:val="20"/>
          <w:color w:val="auto"/>
        </w:rPr>
      </w:pPr>
      <w:r>
        <w:rPr>
          <w:rFonts w:ascii="Times New Roman" w:cs="Times New Roman" w:eastAsia="Times New Roman" w:hAnsi="Times New Roman"/>
          <w:sz w:val="21"/>
          <w:szCs w:val="21"/>
          <w:color w:val="auto"/>
        </w:rPr>
        <w:t xml:space="preserve">Prior approval is generally not required to assume positions with charitable and other non- profit organizations or civic and trade associations, unless the position entails a directorship or officer role. </w:t>
      </w:r>
      <w:r>
        <w:rPr>
          <w:rFonts w:ascii="Times New Roman" w:cs="Times New Roman" w:eastAsia="Times New Roman" w:hAnsi="Times New Roman"/>
          <w:sz w:val="21"/>
          <w:szCs w:val="21"/>
          <w:b w:val="1"/>
          <w:bCs w:val="1"/>
          <w:color w:val="auto"/>
        </w:rPr>
        <w:t>Additionally,</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left="9"/>
        <w:spacing w:after="0" w:line="234" w:lineRule="auto"/>
        <w:rPr>
          <w:sz w:val="20"/>
          <w:szCs w:val="20"/>
          <w:color w:val="auto"/>
        </w:rPr>
      </w:pPr>
      <w:r>
        <w:rPr>
          <w:rFonts w:ascii="Times New Roman" w:cs="Times New Roman" w:eastAsia="Times New Roman" w:hAnsi="Times New Roman"/>
          <w:sz w:val="22"/>
          <w:szCs w:val="22"/>
          <w:b w:val="1"/>
          <w:bCs w:val="1"/>
          <w:color w:val="auto"/>
        </w:rPr>
        <w:t>However, you must obtain prior approval from your supervisor and a Compliance Officer if, 1) your position entails a directorship or officer role, 2) your responsibilities will include the provision of investment advice, such as participation on the investment committee of a non-profit organization, or 3) the organization is a client or business partner of the Firm or its Affiliates.</w:t>
      </w:r>
    </w:p>
    <w:p>
      <w:pPr>
        <w:spacing w:after="0" w:line="65" w:lineRule="exact"/>
        <w:rPr>
          <w:sz w:val="20"/>
          <w:szCs w:val="20"/>
          <w:color w:val="auto"/>
        </w:rPr>
      </w:pPr>
    </w:p>
    <w:p>
      <w:pPr>
        <w:ind w:left="689" w:hanging="689"/>
        <w:spacing w:after="0"/>
        <w:tabs>
          <w:tab w:leader="none" w:pos="689"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 AND OFFICER POSITIONS</w:t>
      </w:r>
    </w:p>
    <w:p>
      <w:pPr>
        <w:spacing w:after="0" w:line="210" w:lineRule="exact"/>
        <w:rPr>
          <w:sz w:val="20"/>
          <w:szCs w:val="20"/>
          <w:color w:val="auto"/>
        </w:rPr>
      </w:pPr>
    </w:p>
    <w:p>
      <w:pPr>
        <w:jc w:val="both"/>
        <w:ind w:left="9" w:firstLine="688"/>
        <w:spacing w:after="0" w:line="238" w:lineRule="auto"/>
        <w:rPr>
          <w:sz w:val="20"/>
          <w:szCs w:val="20"/>
          <w:color w:val="auto"/>
        </w:rPr>
      </w:pPr>
      <w:r>
        <w:rPr>
          <w:rFonts w:ascii="Times New Roman" w:cs="Times New Roman" w:eastAsia="Times New Roman" w:hAnsi="Times New Roman"/>
          <w:sz w:val="22"/>
          <w:szCs w:val="22"/>
          <w:color w:val="auto"/>
        </w:rPr>
        <w:t>In other instances, Supervised Persons may be asked or desire to serve as a director, trustee or officer, with or without compensation, for organizations unaffiliated with the Firm and its Affiliates (“</w:t>
      </w:r>
      <w:r>
        <w:rPr>
          <w:rFonts w:ascii="Times New Roman" w:cs="Times New Roman" w:eastAsia="Times New Roman" w:hAnsi="Times New Roman"/>
          <w:sz w:val="22"/>
          <w:szCs w:val="22"/>
          <w:b w:val="1"/>
          <w:bCs w:val="1"/>
          <w:color w:val="auto"/>
        </w:rPr>
        <w:t>Outside Director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Officer Positions</w:t>
      </w:r>
      <w:r>
        <w:rPr>
          <w:rFonts w:ascii="Times New Roman" w:cs="Times New Roman" w:eastAsia="Times New Roman" w:hAnsi="Times New Roman"/>
          <w:sz w:val="22"/>
          <w:szCs w:val="22"/>
          <w:color w:val="auto"/>
        </w:rPr>
        <w:t>”). Separately, Supervised Persons may be asked to serve as a director or officer, with or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for organizations that are affiliated with the Firm, or its Affiliates (“</w:t>
      </w:r>
      <w:r>
        <w:rPr>
          <w:rFonts w:ascii="Times New Roman" w:cs="Times New Roman" w:eastAsia="Times New Roman" w:hAnsi="Times New Roman"/>
          <w:sz w:val="22"/>
          <w:szCs w:val="22"/>
          <w:b w:val="1"/>
          <w:bCs w:val="1"/>
          <w:color w:val="auto"/>
        </w:rPr>
        <w:t>Affiliated Director and Officer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Positions</w:t>
      </w:r>
      <w:r>
        <w:rPr>
          <w:rFonts w:ascii="Times New Roman" w:cs="Times New Roman" w:eastAsia="Times New Roman" w:hAnsi="Times New Roman"/>
          <w:sz w:val="22"/>
          <w:szCs w:val="22"/>
          <w:color w:val="auto"/>
        </w:rPr>
        <w:t>”).</w:t>
      </w:r>
    </w:p>
    <w:p>
      <w:pPr>
        <w:spacing w:after="0" w:line="69" w:lineRule="exact"/>
        <w:rPr>
          <w:sz w:val="20"/>
          <w:szCs w:val="20"/>
          <w:color w:val="auto"/>
        </w:rPr>
      </w:pPr>
    </w:p>
    <w:p>
      <w:pPr>
        <w:jc w:val="both"/>
        <w:ind w:left="9" w:firstLine="688"/>
        <w:spacing w:after="0" w:line="244" w:lineRule="auto"/>
        <w:rPr>
          <w:sz w:val="20"/>
          <w:szCs w:val="20"/>
          <w:color w:val="auto"/>
        </w:rPr>
      </w:pPr>
      <w:r>
        <w:rPr>
          <w:rFonts w:ascii="Times New Roman" w:cs="Times New Roman" w:eastAsia="Times New Roman" w:hAnsi="Times New Roman"/>
          <w:sz w:val="22"/>
          <w:szCs w:val="22"/>
          <w:color w:val="auto"/>
        </w:rPr>
        <w:t>As a prospective board member, trustee or officer, it is critical that you coordinate with the Compliance Department to ensure that potential conflicts of interest are addressed and special measures are taken to handle and maintain the confidentiality of any information that you may obtain in your new position.</w:t>
      </w:r>
    </w:p>
    <w:p>
      <w:pPr>
        <w:spacing w:after="0" w:line="200" w:lineRule="exact"/>
        <w:rPr>
          <w:sz w:val="20"/>
          <w:szCs w:val="20"/>
          <w:color w:val="auto"/>
        </w:rPr>
      </w:pPr>
    </w:p>
    <w:p>
      <w:pPr>
        <w:spacing w:after="0" w:line="32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-39-</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107" w:name="page108"/>
    <w:bookmarkEnd w:id="107"/>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8289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1">
                      <a:extLst>
                        <a:ext uri="{28A0092B-C50C-407E-A947-70E740481C1C}"/>
                      </a:extLst>
                    </a:blip>
                    <a:srcRect/>
                    <a:stretch>
                      <a:fillRect/>
                    </a:stretch>
                  </pic:blipFill>
                  <pic:spPr bwMode="auto">
                    <a:xfrm>
                      <a:off x="0" y="0"/>
                      <a:ext cx="7136130" cy="7828915"/>
                    </a:xfrm>
                    <a:prstGeom prst="rect">
                      <a:avLst/>
                    </a:prstGeom>
                    <a:noFill/>
                  </pic:spPr>
                </pic:pic>
              </a:graphicData>
            </a:graphic>
          </wp:anchor>
        </w:drawing>
      </w:r>
    </w:p>
    <w:p>
      <w:pPr>
        <w:ind w:left="829" w:hanging="251"/>
        <w:spacing w:after="0"/>
        <w:tabs>
          <w:tab w:leader="none" w:pos="829"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Outside Director and Officer Positions</w:t>
      </w:r>
    </w:p>
    <w:p>
      <w:pPr>
        <w:spacing w:after="0" w:line="152" w:lineRule="exact"/>
        <w:rPr>
          <w:sz w:val="20"/>
          <w:szCs w:val="20"/>
          <w:color w:val="auto"/>
        </w:rPr>
      </w:pPr>
    </w:p>
    <w:p>
      <w:pPr>
        <w:jc w:val="both"/>
        <w:ind w:left="109" w:right="100" w:firstLine="756"/>
        <w:spacing w:after="0" w:line="237" w:lineRule="auto"/>
        <w:rPr>
          <w:sz w:val="20"/>
          <w:szCs w:val="20"/>
          <w:color w:val="auto"/>
        </w:rPr>
      </w:pPr>
      <w:r>
        <w:rPr>
          <w:rFonts w:ascii="Times New Roman" w:cs="Times New Roman" w:eastAsia="Times New Roman" w:hAnsi="Times New Roman"/>
          <w:sz w:val="22"/>
          <w:szCs w:val="22"/>
          <w:b w:val="1"/>
          <w:bCs w:val="1"/>
          <w:color w:val="auto"/>
        </w:rPr>
        <w:t>As such, in the event that you wish to assume an Outside Director and Officer Position, you must obtain prior approval from your supervisor and a Compliance Officer</w:t>
      </w:r>
      <w:r>
        <w:rPr>
          <w:rFonts w:ascii="Times New Roman" w:cs="Times New Roman" w:eastAsia="Times New Roman" w:hAnsi="Times New Roman"/>
          <w:sz w:val="22"/>
          <w:szCs w:val="22"/>
          <w:color w:val="auto"/>
        </w:rPr>
        <w:t>. Outside Director and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Positions will be approved only if any associated conflicts of interest and risks, actual or apparent, can be satisfactorily mitigated or resolved. Please note, however, you are not </w:t>
      </w:r>
      <w:r>
        <w:rPr>
          <w:rFonts w:ascii="Times New Roman" w:cs="Times New Roman" w:eastAsia="Times New Roman" w:hAnsi="Times New Roman"/>
          <w:sz w:val="19"/>
          <w:szCs w:val="19"/>
          <w:color w:val="auto"/>
        </w:rPr>
        <w:t>required to seek pre-approval or provide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disclosure to serve as a board member or officer of a personal residential organization, such as a homeowner’s association or coop board, or an entity formed for personal estate planning purposes.</w:t>
      </w:r>
    </w:p>
    <w:p>
      <w:pPr>
        <w:spacing w:after="0" w:line="385" w:lineRule="exact"/>
        <w:rPr>
          <w:sz w:val="20"/>
          <w:szCs w:val="20"/>
          <w:color w:val="auto"/>
        </w:rPr>
      </w:pPr>
    </w:p>
    <w:p>
      <w:pPr>
        <w:ind w:left="829" w:hanging="251"/>
        <w:spacing w:after="0"/>
        <w:tabs>
          <w:tab w:leader="none" w:pos="829"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Affiliated Positions</w:t>
      </w:r>
    </w:p>
    <w:p>
      <w:pPr>
        <w:spacing w:after="0" w:line="152" w:lineRule="exact"/>
        <w:rPr>
          <w:sz w:val="20"/>
          <w:szCs w:val="20"/>
          <w:color w:val="auto"/>
        </w:rPr>
      </w:pPr>
    </w:p>
    <w:p>
      <w:pPr>
        <w:jc w:val="both"/>
        <w:ind w:left="9" w:firstLine="688"/>
        <w:spacing w:after="0" w:line="241" w:lineRule="auto"/>
        <w:rPr>
          <w:sz w:val="20"/>
          <w:szCs w:val="20"/>
          <w:color w:val="auto"/>
        </w:rPr>
      </w:pPr>
      <w:r>
        <w:rPr>
          <w:rFonts w:ascii="Times New Roman" w:cs="Times New Roman" w:eastAsia="Times New Roman" w:hAnsi="Times New Roman"/>
          <w:sz w:val="22"/>
          <w:szCs w:val="22"/>
          <w:b w:val="1"/>
          <w:bCs w:val="1"/>
          <w:color w:val="auto"/>
        </w:rPr>
        <w:t>If you are assuming an Affiliated Director and Officer Position, you must only disclose your new position to the Compliance Department and in a timely manner</w:t>
      </w:r>
      <w:r>
        <w:rPr>
          <w:rFonts w:ascii="Times New Roman" w:cs="Times New Roman" w:eastAsia="Times New Roman" w:hAnsi="Times New Roman"/>
          <w:sz w:val="22"/>
          <w:szCs w:val="22"/>
          <w:color w:val="auto"/>
        </w:rPr>
        <w:t>. However, you are not required to pre-clear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 director or officer positions with holding companies, or “pass- through” entities affiliated with OFS, the OFS Funds or the OFS Funds’ underlying assets.</w:t>
      </w:r>
    </w:p>
    <w:p>
      <w:pPr>
        <w:spacing w:after="0" w:line="68" w:lineRule="exact"/>
        <w:rPr>
          <w:sz w:val="20"/>
          <w:szCs w:val="20"/>
          <w:color w:val="auto"/>
        </w:rPr>
      </w:pPr>
    </w:p>
    <w:p>
      <w:pPr>
        <w:ind w:left="689"/>
        <w:spacing w:after="0"/>
        <w:rPr>
          <w:sz w:val="20"/>
          <w:szCs w:val="20"/>
          <w:color w:val="auto"/>
        </w:rPr>
      </w:pPr>
      <w:r>
        <w:rPr>
          <w:rFonts w:ascii="Times New Roman" w:cs="Times New Roman" w:eastAsia="Times New Roman" w:hAnsi="Times New Roman"/>
          <w:sz w:val="22"/>
          <w:szCs w:val="22"/>
          <w:color w:val="auto"/>
        </w:rPr>
        <w:t>Disclosures of Affiliated Director and Officer Positions should be made through the Firms’ compliance</w:t>
      </w:r>
    </w:p>
    <w:p>
      <w:pPr>
        <w:spacing w:after="0" w:line="1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portal.</w:t>
      </w:r>
    </w:p>
    <w:p>
      <w:pPr>
        <w:spacing w:after="0" w:line="70" w:lineRule="exact"/>
        <w:rPr>
          <w:sz w:val="20"/>
          <w:szCs w:val="20"/>
          <w:color w:val="auto"/>
        </w:rPr>
      </w:pPr>
    </w:p>
    <w:p>
      <w:pPr>
        <w:ind w:left="689" w:hanging="689"/>
        <w:spacing w:after="0"/>
        <w:tabs>
          <w:tab w:leader="none" w:pos="689"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RELATIONSHIPS</w:t>
      </w:r>
    </w:p>
    <w:p>
      <w:pPr>
        <w:spacing w:after="0" w:line="210" w:lineRule="exact"/>
        <w:rPr>
          <w:sz w:val="20"/>
          <w:szCs w:val="20"/>
          <w:color w:val="auto"/>
        </w:rPr>
      </w:pPr>
    </w:p>
    <w:p>
      <w:pPr>
        <w:jc w:val="both"/>
        <w:ind w:left="9" w:firstLine="688"/>
        <w:spacing w:after="0" w:line="233" w:lineRule="auto"/>
        <w:rPr>
          <w:sz w:val="20"/>
          <w:szCs w:val="20"/>
          <w:color w:val="auto"/>
        </w:rPr>
      </w:pPr>
      <w:r>
        <w:rPr>
          <w:rFonts w:ascii="Times New Roman" w:cs="Times New Roman" w:eastAsia="Times New Roman" w:hAnsi="Times New Roman"/>
          <w:sz w:val="22"/>
          <w:szCs w:val="22"/>
          <w:color w:val="auto"/>
        </w:rPr>
        <w:t>The Firm needs to be aware of relationships maintained by Supervised Persons with third parties that may create the potential for conflicts of interest. The Firm uses this information to assess the need to prohibit certain Supervised Persons from handling matters where such a conflict exists or institute mitigating controls surrounding the levels of business activity or contract negotiations where a relationship posing a conflict has been identified. This may include situations where a Supervised Person’s Related Person or Family Member is: 1) a director, an owner of more than 5% of or a senior management executive of a public company, 2) employed or engaged by a company with which the Firm is conducting or may conduct business, and such Related Person or Family Member is in a position to make decisions with respect to such business or is directly involved with the relationship with the Firm (e.g. a law firm, real estate broker or general contractor), or 3) employed with or serving in an office of a state or local government entity (e.g., city retirement system, state office, public university), in which the Related Person or Family Member has the authority, directly or indirectly, to affect the entity’s current or prospective relationship with the Firm. Such relationships should be disclosed using the Firm’s compliance portal.</w:t>
      </w:r>
    </w:p>
    <w:p>
      <w:pPr>
        <w:spacing w:after="0" w:line="77" w:lineRule="exact"/>
        <w:rPr>
          <w:sz w:val="20"/>
          <w:szCs w:val="20"/>
          <w:color w:val="auto"/>
        </w:rPr>
      </w:pPr>
    </w:p>
    <w:p>
      <w:pPr>
        <w:jc w:val="both"/>
        <w:ind w:left="9" w:firstLine="688"/>
        <w:spacing w:after="0" w:line="258" w:lineRule="auto"/>
        <w:rPr>
          <w:sz w:val="20"/>
          <w:szCs w:val="20"/>
          <w:color w:val="auto"/>
        </w:rPr>
      </w:pPr>
      <w:r>
        <w:rPr>
          <w:rFonts w:ascii="Times New Roman" w:cs="Times New Roman" w:eastAsia="Times New Roman" w:hAnsi="Times New Roman"/>
          <w:sz w:val="22"/>
          <w:szCs w:val="22"/>
          <w:color w:val="auto"/>
        </w:rPr>
        <w:t xml:space="preserve">For purposes of this Code, “Family Member” means the parents, children, brothers, sisters, aunts, uncles, and in-laws of the Supervised Person </w:t>
      </w:r>
      <w:r>
        <w:rPr>
          <w:rFonts w:ascii="Times New Roman" w:cs="Times New Roman" w:eastAsia="Times New Roman" w:hAnsi="Times New Roman"/>
          <w:sz w:val="22"/>
          <w:szCs w:val="22"/>
          <w:i w:val="1"/>
          <w:iCs w:val="1"/>
          <w:color w:val="auto"/>
        </w:rPr>
        <w:t>regardless of residence, financial dependence, or investment control.</w:t>
      </w:r>
    </w:p>
    <w:p>
      <w:pPr>
        <w:spacing w:after="0" w:line="200" w:lineRule="exact"/>
        <w:rPr>
          <w:sz w:val="20"/>
          <w:szCs w:val="20"/>
          <w:color w:val="auto"/>
        </w:rPr>
      </w:pPr>
    </w:p>
    <w:p>
      <w:pPr>
        <w:spacing w:after="0" w:line="30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-40-</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803910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108" w:name="page109"/>
    <w:bookmarkEnd w:id="108"/>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3775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3">
                      <a:extLst>
                        <a:ext uri="{28A0092B-C50C-407E-A947-70E740481C1C}"/>
                      </a:extLst>
                    </a:blip>
                    <a:srcRect/>
                    <a:stretch>
                      <a:fillRect/>
                    </a:stretch>
                  </pic:blipFill>
                  <pic:spPr bwMode="auto">
                    <a:xfrm>
                      <a:off x="0" y="0"/>
                      <a:ext cx="7136130" cy="8377555"/>
                    </a:xfrm>
                    <a:prstGeom prst="rect">
                      <a:avLst/>
                    </a:prstGeom>
                    <a:noFill/>
                  </pic:spPr>
                </pic:pic>
              </a:graphicData>
            </a:graphic>
          </wp:anchor>
        </w:drawing>
      </w:r>
    </w:p>
    <w:p>
      <w:pPr>
        <w:ind w:left="2509"/>
        <w:spacing w:after="0"/>
        <w:tabs>
          <w:tab w:leader="none" w:pos="3169"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u w:val="single" w:color="auto"/>
          <w:color w:val="auto"/>
        </w:rPr>
        <w:t>ANTI-CORRUPTION POLICY</w:t>
      </w:r>
    </w:p>
    <w:p>
      <w:pPr>
        <w:spacing w:after="0" w:line="200" w:lineRule="exact"/>
        <w:rPr>
          <w:sz w:val="20"/>
          <w:szCs w:val="20"/>
          <w:color w:val="auto"/>
        </w:rPr>
      </w:pPr>
    </w:p>
    <w:p>
      <w:pPr>
        <w:spacing w:after="0" w:line="361" w:lineRule="exact"/>
        <w:rPr>
          <w:sz w:val="20"/>
          <w:szCs w:val="20"/>
          <w:color w:val="auto"/>
        </w:rPr>
      </w:pPr>
    </w:p>
    <w:p>
      <w:pPr>
        <w:jc w:val="both"/>
        <w:ind w:left="9" w:firstLine="688"/>
        <w:spacing w:after="0" w:line="235" w:lineRule="auto"/>
        <w:rPr>
          <w:sz w:val="20"/>
          <w:szCs w:val="20"/>
          <w:color w:val="auto"/>
        </w:rPr>
      </w:pPr>
      <w:r>
        <w:rPr>
          <w:rFonts w:ascii="Times New Roman" w:cs="Times New Roman" w:eastAsia="Times New Roman" w:hAnsi="Times New Roman"/>
          <w:sz w:val="22"/>
          <w:szCs w:val="22"/>
          <w:color w:val="auto"/>
        </w:rPr>
        <w:t>The purpose of the OFS Adviser’s Anti-Corruption Policy is to ensure compliance by the Firm and its employees with applicable anti-bribery laws. As such, the Policy prohibits OFS Adviser employees from offering, promising, paying or providing, or authorizing the promising, paying or providing (in each case, directly or indirectly, including through third parties) of any amount of money or anything of value to any Public Official or Private Sector Counterparty (defined below), including a person actually known to be an immediate family member of such parties, in order to improperly influence or reward any action or decision by such person for the Firm’s benefit.</w:t>
      </w:r>
    </w:p>
    <w:p>
      <w:pPr>
        <w:spacing w:after="0" w:line="75" w:lineRule="exact"/>
        <w:rPr>
          <w:sz w:val="20"/>
          <w:szCs w:val="20"/>
          <w:color w:val="auto"/>
        </w:rPr>
      </w:pPr>
    </w:p>
    <w:p>
      <w:pPr>
        <w:jc w:val="both"/>
        <w:ind w:left="9" w:firstLine="688"/>
        <w:spacing w:after="0" w:line="258" w:lineRule="auto"/>
        <w:rPr>
          <w:sz w:val="20"/>
          <w:szCs w:val="20"/>
          <w:color w:val="auto"/>
        </w:rPr>
      </w:pPr>
      <w:r>
        <w:rPr>
          <w:rFonts w:ascii="Times New Roman" w:cs="Times New Roman" w:eastAsia="Times New Roman" w:hAnsi="Times New Roman"/>
          <w:sz w:val="22"/>
          <w:szCs w:val="22"/>
          <w:color w:val="auto"/>
        </w:rPr>
        <w:t>Neither funds from the Firm nor funds from any other source may be used to make any such payment or gift on behalf of or for the Firm’s benefit.</w:t>
      </w:r>
    </w:p>
    <w:p>
      <w:pPr>
        <w:spacing w:after="0" w:line="46" w:lineRule="exact"/>
        <w:rPr>
          <w:sz w:val="20"/>
          <w:szCs w:val="20"/>
          <w:color w:val="auto"/>
        </w:rPr>
      </w:pPr>
    </w:p>
    <w:p>
      <w:pPr>
        <w:ind w:left="689" w:hanging="689"/>
        <w:spacing w:after="0"/>
        <w:tabs>
          <w:tab w:leader="none" w:pos="689"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INTERACTION WITH PUBLIC OFFICIALS</w:t>
      </w:r>
    </w:p>
    <w:p>
      <w:pPr>
        <w:spacing w:after="0" w:line="210" w:lineRule="exact"/>
        <w:rPr>
          <w:sz w:val="20"/>
          <w:szCs w:val="20"/>
          <w:color w:val="auto"/>
        </w:rPr>
      </w:pPr>
    </w:p>
    <w:p>
      <w:pPr>
        <w:jc w:val="both"/>
        <w:ind w:left="9" w:firstLine="688"/>
        <w:spacing w:after="0" w:line="239" w:lineRule="auto"/>
        <w:rPr>
          <w:sz w:val="20"/>
          <w:szCs w:val="20"/>
          <w:color w:val="auto"/>
        </w:rPr>
      </w:pPr>
      <w:r>
        <w:rPr>
          <w:rFonts w:ascii="Times New Roman" w:cs="Times New Roman" w:eastAsia="Times New Roman" w:hAnsi="Times New Roman"/>
          <w:sz w:val="22"/>
          <w:szCs w:val="22"/>
          <w:color w:val="auto"/>
        </w:rPr>
        <w:t>The U.S. Foreign Corrupt Practices Act (also referred to as the “FCPA”) is a U.S. federal law that generally prohibits the bribery of foreign officials (also referred to as “Public Officials”), directly or indirectly, by any individual, business entity or employee of any such entity for the purpose of obtaining or retaining business and/or gaining an unfair advantage.</w:t>
      </w:r>
    </w:p>
    <w:p>
      <w:pPr>
        <w:spacing w:after="0" w:line="72" w:lineRule="exact"/>
        <w:rPr>
          <w:sz w:val="20"/>
          <w:szCs w:val="20"/>
          <w:color w:val="auto"/>
        </w:rPr>
      </w:pPr>
    </w:p>
    <w:p>
      <w:pPr>
        <w:jc w:val="both"/>
        <w:ind w:left="9" w:firstLine="688"/>
        <w:spacing w:after="0" w:line="234" w:lineRule="auto"/>
        <w:rPr>
          <w:sz w:val="20"/>
          <w:szCs w:val="20"/>
          <w:color w:val="auto"/>
        </w:rPr>
      </w:pPr>
      <w:r>
        <w:rPr>
          <w:rFonts w:ascii="Times New Roman" w:cs="Times New Roman" w:eastAsia="Times New Roman" w:hAnsi="Times New Roman"/>
          <w:sz w:val="22"/>
          <w:szCs w:val="22"/>
          <w:color w:val="auto"/>
        </w:rPr>
        <w:t>“Public Official”, for purposes of this Policy, includes any person who is employed full- or part-time by a government, or by regional subdivisions of governments, including states, provinces, districts, counties, cities, towns and villages or by independent agencies, state-owned businesses, state- controlled businesses or public academic institutions. This would include, for example, employees of sovereign wealth funds, government-sponsored pension plans (i.e. pension plans for the benefit of government employees), heads of state, lower level employees of state-controlled businesses and government-sponsored university endowments. “Public Official” also includes political party officials and candidates for political office. For example, a campaign contribution is the equivalent of a payment to a Public Official under the FCPA. In certain cases, providing a payment or thing of value to a person actually known to be an immediate family member of a Public Official or a charity associated with a Public Official may be the equivalent of providing a thing of value to the Public Official directly.</w:t>
      </w:r>
    </w:p>
    <w:p>
      <w:pPr>
        <w:spacing w:after="0" w:line="71" w:lineRule="exact"/>
        <w:rPr>
          <w:sz w:val="20"/>
          <w:szCs w:val="20"/>
          <w:color w:val="auto"/>
        </w:rPr>
      </w:pPr>
    </w:p>
    <w:p>
      <w:pPr>
        <w:jc w:val="both"/>
        <w:ind w:left="9" w:firstLine="688"/>
        <w:spacing w:after="0" w:line="244" w:lineRule="auto"/>
        <w:rPr>
          <w:sz w:val="20"/>
          <w:szCs w:val="20"/>
          <w:color w:val="auto"/>
        </w:rPr>
      </w:pPr>
      <w:r>
        <w:rPr>
          <w:rFonts w:ascii="Times New Roman" w:cs="Times New Roman" w:eastAsia="Times New Roman" w:hAnsi="Times New Roman"/>
          <w:sz w:val="22"/>
          <w:szCs w:val="22"/>
          <w:color w:val="auto"/>
        </w:rPr>
        <w:t>Under the FCPA, the employees of public international organizations, such as the African and Asian Development Banks, the European Union, the International Monetary Fund, the United Nations, and the Organization of American States, are considered Public Officials.</w:t>
      </w:r>
    </w:p>
    <w:p>
      <w:pPr>
        <w:spacing w:after="0" w:line="65" w:lineRule="exact"/>
        <w:rPr>
          <w:sz w:val="20"/>
          <w:szCs w:val="20"/>
          <w:color w:val="auto"/>
        </w:rPr>
      </w:pPr>
    </w:p>
    <w:p>
      <w:pPr>
        <w:jc w:val="both"/>
        <w:ind w:left="9" w:firstLine="688"/>
        <w:spacing w:after="0" w:line="239" w:lineRule="auto"/>
        <w:rPr>
          <w:sz w:val="20"/>
          <w:szCs w:val="20"/>
          <w:color w:val="auto"/>
        </w:rPr>
      </w:pPr>
      <w:r>
        <w:rPr>
          <w:rFonts w:ascii="Times New Roman" w:cs="Times New Roman" w:eastAsia="Times New Roman" w:hAnsi="Times New Roman"/>
          <w:sz w:val="22"/>
          <w:szCs w:val="22"/>
          <w:color w:val="auto"/>
        </w:rPr>
        <w:t>In April 2010, the United Kingdom, passed its own anti-bribery law, the Bribery Act 2010 (the “Bribery Act”). However, the law went further than the FCPA, prohibiting not only bribery of “foreign public officials” but also the bribery of private parties. Further, the Bribery Act, unlike the FCPA, prohibits “passive” bribery or the acceptance of bribes, in addition to “active” bribery, or giving a bribe.</w:t>
      </w:r>
    </w:p>
    <w:p>
      <w:pPr>
        <w:spacing w:after="0" w:line="200" w:lineRule="exact"/>
        <w:rPr>
          <w:sz w:val="20"/>
          <w:szCs w:val="20"/>
          <w:color w:val="auto"/>
        </w:rPr>
      </w:pPr>
    </w:p>
    <w:p>
      <w:pPr>
        <w:spacing w:after="0" w:line="33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-41-</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109" w:name="page110"/>
    <w:bookmarkEnd w:id="109"/>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46328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5">
                      <a:extLst>
                        <a:ext uri="{28A0092B-C50C-407E-A947-70E740481C1C}"/>
                      </a:extLst>
                    </a:blip>
                    <a:srcRect/>
                    <a:stretch>
                      <a:fillRect/>
                    </a:stretch>
                  </pic:blipFill>
                  <pic:spPr bwMode="auto">
                    <a:xfrm>
                      <a:off x="0" y="0"/>
                      <a:ext cx="7136130" cy="8463280"/>
                    </a:xfrm>
                    <a:prstGeom prst="rect">
                      <a:avLst/>
                    </a:prstGeom>
                    <a:noFill/>
                  </pic:spPr>
                </pic:pic>
              </a:graphicData>
            </a:graphic>
          </wp:anchor>
        </w:drawing>
      </w:r>
    </w:p>
    <w:p>
      <w:pPr>
        <w:jc w:val="both"/>
        <w:ind w:left="9" w:firstLine="688"/>
        <w:spacing w:after="0" w:line="236" w:lineRule="auto"/>
        <w:rPr>
          <w:sz w:val="20"/>
          <w:szCs w:val="20"/>
          <w:color w:val="auto"/>
        </w:rPr>
      </w:pPr>
      <w:r>
        <w:rPr>
          <w:rFonts w:ascii="Times New Roman" w:cs="Times New Roman" w:eastAsia="Times New Roman" w:hAnsi="Times New Roman"/>
          <w:sz w:val="22"/>
          <w:szCs w:val="22"/>
          <w:color w:val="auto"/>
        </w:rPr>
        <w:t>The OFS Adviser Anti-Corruption Policy is applicable to all OFS Adviser employees, regardless of their country of citizenship or residency. Although the FCPA and the Bribery Act are the principal anti-bribery statutes applicable to OFS Adviser and its employees worldwide, OFS Adviser and its employees are also subject to the applicable anti-bribery laws of all jurisdictions in which they do business and any jurisdictions involved in OFS Adviser’s cross-border transactions. OFS Adviser employees who are not U.S. or U.K. citizens or residents may also be subject to anti-bribery laws of their countries of citizenship or residency, as applicable.</w:t>
      </w:r>
    </w:p>
    <w:p>
      <w:pPr>
        <w:spacing w:after="0" w:line="73" w:lineRule="exact"/>
        <w:rPr>
          <w:sz w:val="20"/>
          <w:szCs w:val="20"/>
          <w:color w:val="auto"/>
        </w:rPr>
      </w:pPr>
    </w:p>
    <w:p>
      <w:pPr>
        <w:jc w:val="both"/>
        <w:ind w:left="9" w:firstLine="688"/>
        <w:spacing w:after="0" w:line="239" w:lineRule="auto"/>
        <w:rPr>
          <w:sz w:val="20"/>
          <w:szCs w:val="20"/>
          <w:color w:val="auto"/>
        </w:rPr>
      </w:pPr>
      <w:r>
        <w:rPr>
          <w:rFonts w:ascii="Times New Roman" w:cs="Times New Roman" w:eastAsia="Times New Roman" w:hAnsi="Times New Roman"/>
          <w:sz w:val="22"/>
          <w:szCs w:val="22"/>
          <w:color w:val="auto"/>
        </w:rPr>
        <w:t>Prior to transacting business (including merger and acquisition transactions and the retention of certain third parties) outside the U.S. or U.K., you should consult with the CCO or Chief Legal Officer or local counsel to obtain the applicable policies, requirements and procedures pertinent to complying with the applicable anti-bribery laws of such jurisdictions.</w:t>
      </w:r>
    </w:p>
    <w:p>
      <w:pPr>
        <w:spacing w:after="0" w:line="200" w:lineRule="exact"/>
        <w:rPr>
          <w:sz w:val="20"/>
          <w:szCs w:val="20"/>
          <w:color w:val="auto"/>
        </w:rPr>
      </w:pPr>
    </w:p>
    <w:p>
      <w:pPr>
        <w:spacing w:after="0" w:line="327" w:lineRule="exact"/>
        <w:rPr>
          <w:sz w:val="20"/>
          <w:szCs w:val="20"/>
          <w:color w:val="auto"/>
        </w:rPr>
      </w:pPr>
    </w:p>
    <w:p>
      <w:pPr>
        <w:ind w:left="689" w:hanging="689"/>
        <w:spacing w:after="0"/>
        <w:tabs>
          <w:tab w:leader="none" w:pos="689"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INTERACTION WITH PRIVATE SECTOR COUNTERPARTY REPRESENTATIVES</w:t>
      </w:r>
    </w:p>
    <w:p>
      <w:pPr>
        <w:spacing w:after="0" w:line="210" w:lineRule="exact"/>
        <w:rPr>
          <w:sz w:val="20"/>
          <w:szCs w:val="20"/>
          <w:color w:val="auto"/>
        </w:rPr>
      </w:pPr>
    </w:p>
    <w:p>
      <w:pPr>
        <w:jc w:val="both"/>
        <w:ind w:left="9" w:firstLine="688"/>
        <w:spacing w:after="0" w:line="251" w:lineRule="auto"/>
        <w:rPr>
          <w:sz w:val="20"/>
          <w:szCs w:val="20"/>
          <w:color w:val="auto"/>
        </w:rPr>
      </w:pPr>
      <w:r>
        <w:rPr>
          <w:rFonts w:ascii="Times New Roman" w:cs="Times New Roman" w:eastAsia="Times New Roman" w:hAnsi="Times New Roman"/>
          <w:sz w:val="21"/>
          <w:szCs w:val="21"/>
          <w:color w:val="auto"/>
        </w:rPr>
        <w:t>OFS employees should be sensitive to anti-corruption issues in their dealings directly or indirectly, with Private Sector Counterparty Representatives. A Private Sector Counterparty Representative is an owner, employee, or representative of a private entity, such as a partnership or corporation, with which OFS Adviser is conducting or seeking to conduct business. Individuals affiliated with current and prospective clients, joint venture partners and service providers and other third parties in such a capacity are all “Private Sector Counterparty Representatives”.</w:t>
      </w:r>
    </w:p>
    <w:p>
      <w:pPr>
        <w:spacing w:after="0" w:line="60" w:lineRule="exact"/>
        <w:rPr>
          <w:sz w:val="20"/>
          <w:szCs w:val="20"/>
          <w:color w:val="auto"/>
        </w:rPr>
      </w:pPr>
    </w:p>
    <w:p>
      <w:pPr>
        <w:jc w:val="both"/>
        <w:ind w:left="9" w:firstLine="688"/>
        <w:spacing w:after="0" w:line="235" w:lineRule="auto"/>
        <w:rPr>
          <w:sz w:val="20"/>
          <w:szCs w:val="20"/>
          <w:color w:val="auto"/>
        </w:rPr>
      </w:pPr>
      <w:r>
        <w:rPr>
          <w:rFonts w:ascii="Times New Roman" w:cs="Times New Roman" w:eastAsia="Times New Roman" w:hAnsi="Times New Roman"/>
          <w:sz w:val="22"/>
          <w:szCs w:val="22"/>
          <w:color w:val="auto"/>
        </w:rPr>
        <w:t>Bribery concerns may arise in connection with your day-to-day interactions with Private Sector Counterparty Representatives, regarding, for example, the offering of investment opportunities or the solicitation of OFS Adviser business by service providers. It is important to be mindful of the anti- bribery laws and to avoid any action that may give the appearance of bribery in your dealings with such individuals. While you may engage in the exchange of gifts, meals and entertainment with Private Sector Counterparty Representatives in the normal and routine course of business, it is important that you adhere to this Policy and to the Gifts and Entertainment Policy of this Code to avoid running afoul of the anti-corruption laws.</w:t>
      </w:r>
    </w:p>
    <w:p>
      <w:pPr>
        <w:spacing w:after="0" w:line="71" w:lineRule="exact"/>
        <w:rPr>
          <w:sz w:val="20"/>
          <w:szCs w:val="20"/>
          <w:color w:val="auto"/>
        </w:rPr>
      </w:pPr>
    </w:p>
    <w:p>
      <w:pPr>
        <w:ind w:left="689" w:hanging="689"/>
        <w:spacing w:after="0"/>
        <w:tabs>
          <w:tab w:leader="none" w:pos="689"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RETENTION OF CERTAIN THIRD PARTIES</w:t>
      </w:r>
    </w:p>
    <w:p>
      <w:pPr>
        <w:spacing w:after="0" w:line="210" w:lineRule="exact"/>
        <w:rPr>
          <w:sz w:val="20"/>
          <w:szCs w:val="20"/>
          <w:color w:val="auto"/>
        </w:rPr>
      </w:pPr>
    </w:p>
    <w:p>
      <w:pPr>
        <w:jc w:val="both"/>
        <w:ind w:left="9" w:firstLine="688"/>
        <w:spacing w:after="0" w:line="234" w:lineRule="auto"/>
        <w:rPr>
          <w:sz w:val="20"/>
          <w:szCs w:val="20"/>
          <w:color w:val="auto"/>
        </w:rPr>
      </w:pPr>
      <w:r>
        <w:rPr>
          <w:rFonts w:ascii="Times New Roman" w:cs="Times New Roman" w:eastAsia="Times New Roman" w:hAnsi="Times New Roman"/>
          <w:sz w:val="22"/>
          <w:szCs w:val="22"/>
          <w:color w:val="auto"/>
        </w:rPr>
        <w:t>Payments by OFS Adviser to Third Parties raise special concerns under the FCPA, Bribery Act and any other applicable anti-bribery laws. A “Third Party” is defined as any consultant, investor, joint venture partner, local partner, broker, agent or other third party retained or to be retained by OFS Adviser for purposes of dealing with a Public Official or a Private Sector Counterparty Representative on behalf of OFS Adviser or where the contemplated services are likely to involve business-related interactions with a Public Official or Private Sector Counterparty Representative on behalf of OFS Adviser. Because of the risk that a Third Party may seek to secure business for OFS Adviser or its Advisory Clients through violations of the FCPA or Bribery Act and that OFS Adviser or its Advisory Client’s Portfolio Companies may be subject to liability under the FCPA or Bribery Act as a result, any agreement with a Third Party</w:t>
      </w:r>
    </w:p>
    <w:p>
      <w:pPr>
        <w:spacing w:after="0" w:line="200" w:lineRule="exact"/>
        <w:rPr>
          <w:sz w:val="20"/>
          <w:szCs w:val="20"/>
          <w:color w:val="auto"/>
        </w:rPr>
      </w:pPr>
    </w:p>
    <w:p>
      <w:pPr>
        <w:spacing w:after="0" w:line="3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-42-</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110" w:name="page111"/>
    <w:bookmarkEnd w:id="110"/>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38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7">
                      <a:extLst>
                        <a:ext uri="{28A0092B-C50C-407E-A947-70E740481C1C}"/>
                      </a:extLst>
                    </a:blip>
                    <a:srcRect/>
                    <a:stretch>
                      <a:fillRect/>
                    </a:stretch>
                  </pic:blipFill>
                  <pic:spPr bwMode="auto">
                    <a:xfrm>
                      <a:off x="0" y="0"/>
                      <a:ext cx="7136130" cy="6388735"/>
                    </a:xfrm>
                    <a:prstGeom prst="rect">
                      <a:avLst/>
                    </a:prstGeom>
                    <a:noFill/>
                  </pic:spPr>
                </pic:pic>
              </a:graphicData>
            </a:graphic>
          </wp:anchor>
        </w:drawing>
      </w:r>
    </w:p>
    <w:p>
      <w:pPr>
        <w:ind w:left="9"/>
        <w:spacing w:after="0" w:line="258" w:lineRule="auto"/>
        <w:rPr>
          <w:sz w:val="20"/>
          <w:szCs w:val="20"/>
          <w:color w:val="auto"/>
        </w:rPr>
      </w:pPr>
      <w:r>
        <w:rPr>
          <w:rFonts w:ascii="Times New Roman" w:cs="Times New Roman" w:eastAsia="Times New Roman" w:hAnsi="Times New Roman"/>
          <w:sz w:val="22"/>
          <w:szCs w:val="22"/>
          <w:color w:val="auto"/>
        </w:rPr>
        <w:t>that is engaged to do business with OFS Adviser is subject to specific due diligence and contractual requirements to assure compliance with the Firm’s Anti-Corruption Policy.</w:t>
      </w:r>
    </w:p>
    <w:p>
      <w:pPr>
        <w:spacing w:after="0" w:line="200" w:lineRule="exact"/>
        <w:rPr>
          <w:sz w:val="20"/>
          <w:szCs w:val="20"/>
          <w:color w:val="auto"/>
        </w:rPr>
      </w:pPr>
    </w:p>
    <w:p>
      <w:pPr>
        <w:spacing w:after="0" w:line="332" w:lineRule="exact"/>
        <w:rPr>
          <w:sz w:val="20"/>
          <w:szCs w:val="20"/>
          <w:color w:val="auto"/>
        </w:rPr>
      </w:pPr>
    </w:p>
    <w:p>
      <w:pPr>
        <w:ind w:left="689" w:hanging="689"/>
        <w:spacing w:after="0"/>
        <w:tabs>
          <w:tab w:leader="none" w:pos="689"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PRE-APPROVAL, REPORTING, DUE DILIGENCE AND CONTRACTUALREQUIREMENTS</w:t>
      </w:r>
    </w:p>
    <w:p>
      <w:pPr>
        <w:spacing w:after="0" w:line="210" w:lineRule="exact"/>
        <w:rPr>
          <w:sz w:val="20"/>
          <w:szCs w:val="20"/>
          <w:color w:val="auto"/>
        </w:rPr>
      </w:pPr>
    </w:p>
    <w:p>
      <w:pPr>
        <w:ind w:left="9" w:firstLine="688"/>
        <w:spacing w:after="0" w:line="258" w:lineRule="auto"/>
        <w:rPr>
          <w:sz w:val="20"/>
          <w:szCs w:val="20"/>
          <w:color w:val="auto"/>
        </w:rPr>
      </w:pPr>
      <w:r>
        <w:rPr>
          <w:rFonts w:ascii="Times New Roman" w:cs="Times New Roman" w:eastAsia="Times New Roman" w:hAnsi="Times New Roman"/>
          <w:sz w:val="22"/>
          <w:szCs w:val="22"/>
          <w:color w:val="auto"/>
        </w:rPr>
        <w:t>Unless otherwise authorized by the CCO or a Compliance Officer, you are required to adhere to the following policies and procedures, designed to facilitate your compliance with applicable anti- bribery laws.</w:t>
      </w:r>
    </w:p>
    <w:p>
      <w:pPr>
        <w:spacing w:after="0" w:line="50" w:lineRule="exact"/>
        <w:rPr>
          <w:sz w:val="20"/>
          <w:szCs w:val="20"/>
          <w:color w:val="auto"/>
        </w:rPr>
      </w:pPr>
    </w:p>
    <w:p>
      <w:pPr>
        <w:ind w:left="9" w:right="380" w:firstLine="688"/>
        <w:spacing w:after="0" w:line="258" w:lineRule="auto"/>
        <w:rPr>
          <w:sz w:val="20"/>
          <w:szCs w:val="20"/>
          <w:color w:val="auto"/>
        </w:rPr>
      </w:pPr>
      <w:r>
        <w:rPr>
          <w:rFonts w:ascii="Times New Roman" w:cs="Times New Roman" w:eastAsia="Times New Roman" w:hAnsi="Times New Roman"/>
          <w:sz w:val="22"/>
          <w:szCs w:val="22"/>
          <w:color w:val="auto"/>
        </w:rPr>
        <w:t>You must submit a preclearance request and obtain pre-approval for the following types of expenses and contributions:</w:t>
      </w:r>
    </w:p>
    <w:p>
      <w:pPr>
        <w:spacing w:after="0" w:line="50" w:lineRule="exact"/>
        <w:rPr>
          <w:sz w:val="20"/>
          <w:szCs w:val="20"/>
          <w:color w:val="auto"/>
        </w:rPr>
      </w:pPr>
    </w:p>
    <w:p>
      <w:pPr>
        <w:ind w:left="1549" w:right="220" w:hanging="420"/>
        <w:spacing w:after="0" w:line="238" w:lineRule="auto"/>
        <w:tabs>
          <w:tab w:leader="none" w:pos="154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Gifts and entertainment, including food and beverages, travel, or lodging or anything of value provided to a Public Official or a person known to be an immediate family member or guest of a Public Official;</w:t>
      </w:r>
    </w:p>
    <w:p>
      <w:pPr>
        <w:ind w:left="1549" w:hanging="420"/>
        <w:spacing w:after="0" w:line="230" w:lineRule="auto"/>
        <w:tabs>
          <w:tab w:leader="none" w:pos="154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Charitable contributions made on behalf of OFS Adviser and/or its affiliated operating entities</w:t>
      </w:r>
    </w:p>
    <w:p>
      <w:pPr>
        <w:ind w:left="1549" w:right="40" w:hanging="420"/>
        <w:spacing w:after="0" w:line="230" w:lineRule="auto"/>
        <w:tabs>
          <w:tab w:leader="none" w:pos="154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Charitable contributions made in an individual capacity or on behalf of OFS Adviser at the request of or for the benefit of a Public Official; and</w:t>
      </w:r>
    </w:p>
    <w:p>
      <w:pPr>
        <w:spacing w:after="0" w:line="1" w:lineRule="exact"/>
        <w:rPr>
          <w:rFonts w:ascii="Times New Roman" w:cs="Times New Roman" w:eastAsia="Times New Roman" w:hAnsi="Times New Roman"/>
          <w:sz w:val="22"/>
          <w:szCs w:val="22"/>
          <w:color w:val="auto"/>
        </w:rPr>
      </w:pPr>
    </w:p>
    <w:p>
      <w:pPr>
        <w:ind w:left="1549" w:hanging="420"/>
        <w:spacing w:after="0"/>
        <w:tabs>
          <w:tab w:leader="none" w:pos="154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political contributions.</w:t>
      </w:r>
    </w:p>
    <w:p>
      <w:pPr>
        <w:spacing w:after="0" w:line="74" w:lineRule="exact"/>
        <w:rPr>
          <w:sz w:val="20"/>
          <w:szCs w:val="20"/>
          <w:color w:val="auto"/>
        </w:rPr>
      </w:pPr>
    </w:p>
    <w:p>
      <w:pPr>
        <w:ind w:left="689"/>
        <w:spacing w:after="0"/>
        <w:rPr>
          <w:sz w:val="20"/>
          <w:szCs w:val="20"/>
          <w:color w:val="auto"/>
        </w:rPr>
      </w:pPr>
      <w:r>
        <w:rPr>
          <w:rFonts w:ascii="Times New Roman" w:cs="Times New Roman" w:eastAsia="Times New Roman" w:hAnsi="Times New Roman"/>
          <w:sz w:val="22"/>
          <w:szCs w:val="22"/>
          <w:color w:val="auto"/>
        </w:rPr>
        <w:t>Preclearance requests should be submitted via the Firm’s compliance portal.</w:t>
      </w:r>
    </w:p>
    <w:p>
      <w:pPr>
        <w:spacing w:after="0" w:line="94" w:lineRule="exact"/>
        <w:rPr>
          <w:sz w:val="20"/>
          <w:szCs w:val="20"/>
          <w:color w:val="auto"/>
        </w:rPr>
      </w:pPr>
    </w:p>
    <w:p>
      <w:pPr>
        <w:ind w:left="689" w:hanging="689"/>
        <w:spacing w:after="0"/>
        <w:tabs>
          <w:tab w:leader="none" w:pos="689"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OBLIGATIONS</w:t>
      </w:r>
    </w:p>
    <w:p>
      <w:pPr>
        <w:spacing w:after="0" w:line="210" w:lineRule="exact"/>
        <w:rPr>
          <w:sz w:val="20"/>
          <w:szCs w:val="20"/>
          <w:color w:val="auto"/>
        </w:rPr>
      </w:pPr>
    </w:p>
    <w:p>
      <w:pPr>
        <w:ind w:left="9" w:right="380" w:firstLine="688"/>
        <w:spacing w:after="0" w:line="244" w:lineRule="auto"/>
        <w:rPr>
          <w:sz w:val="20"/>
          <w:szCs w:val="20"/>
          <w:color w:val="auto"/>
        </w:rPr>
      </w:pPr>
      <w:r>
        <w:rPr>
          <w:rFonts w:ascii="Times New Roman" w:cs="Times New Roman" w:eastAsia="Times New Roman" w:hAnsi="Times New Roman"/>
          <w:sz w:val="22"/>
          <w:szCs w:val="22"/>
          <w:color w:val="auto"/>
        </w:rPr>
        <w:t>On a quarterly basis, you must certify to all previously approved and/or disclosed political contributions, charitable contributions, items to Public Officials and all gifts and entertainment received, as specified above. Certification must be made via the Firm’s compliance portal.</w:t>
      </w:r>
    </w:p>
    <w:p>
      <w:pPr>
        <w:spacing w:after="0" w:line="200" w:lineRule="exact"/>
        <w:rPr>
          <w:sz w:val="20"/>
          <w:szCs w:val="20"/>
          <w:color w:val="auto"/>
        </w:rPr>
      </w:pPr>
    </w:p>
    <w:p>
      <w:pPr>
        <w:spacing w:after="0" w:line="32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Page -43-</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812800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9"/>
          </w:cols>
          <w:pgMar w:left="891" w:top="1440" w:right="899" w:bottom="1440" w:gutter="0" w:footer="0" w:header="0"/>
        </w:sectPr>
      </w:pPr>
    </w:p>
    <w:bookmarkStart w:id="111" w:name="page112"/>
    <w:bookmarkEnd w:id="111"/>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8855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9">
                      <a:extLst>
                        <a:ext uri="{28A0092B-C50C-407E-A947-70E740481C1C}"/>
                      </a:extLst>
                    </a:blip>
                    <a:srcRect/>
                    <a:stretch>
                      <a:fillRect/>
                    </a:stretch>
                  </pic:blipFill>
                  <pic:spPr bwMode="auto">
                    <a:xfrm>
                      <a:off x="0" y="0"/>
                      <a:ext cx="7136130" cy="3885565"/>
                    </a:xfrm>
                    <a:prstGeom prst="rect">
                      <a:avLst/>
                    </a:prstGeom>
                    <a:noFill/>
                  </pic:spPr>
                </pic:pic>
              </a:graphicData>
            </a:graphic>
          </wp:anchor>
        </w:drawing>
      </w:r>
    </w:p>
    <w:p>
      <w:pPr>
        <w:ind w:left="250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u w:val="single" w:color="auto"/>
          <w:color w:val="auto"/>
        </w:rPr>
        <w:t>ACCEPTABLE USE POLICY</w:t>
      </w:r>
    </w:p>
    <w:p>
      <w:pPr>
        <w:spacing w:after="0" w:line="200" w:lineRule="exact"/>
        <w:rPr>
          <w:sz w:val="20"/>
          <w:szCs w:val="20"/>
          <w:color w:val="auto"/>
        </w:rPr>
      </w:pPr>
    </w:p>
    <w:p>
      <w:pPr>
        <w:spacing w:after="0" w:line="361" w:lineRule="exact"/>
        <w:rPr>
          <w:sz w:val="20"/>
          <w:szCs w:val="20"/>
          <w:color w:val="auto"/>
        </w:rPr>
      </w:pPr>
    </w:p>
    <w:p>
      <w:pPr>
        <w:jc w:val="both"/>
        <w:ind w:firstLine="688"/>
        <w:spacing w:after="0" w:line="238" w:lineRule="auto"/>
        <w:rPr>
          <w:sz w:val="20"/>
          <w:szCs w:val="20"/>
          <w:color w:val="auto"/>
        </w:rPr>
      </w:pPr>
      <w:r>
        <w:rPr>
          <w:rFonts w:ascii="Times New Roman" w:cs="Times New Roman" w:eastAsia="Times New Roman" w:hAnsi="Times New Roman"/>
          <w:sz w:val="22"/>
          <w:szCs w:val="22"/>
          <w:color w:val="auto"/>
        </w:rPr>
        <w:t>OFS’ Acceptable Use Policy is hereby incorporated into this Code by reference. Supervised Persons are required to fully comply with all policies, procedures and certification and training requirements associated with the OFS Acceptable Use Policy, and any instance of non-compliance will likely constitute a violation of this Code. The Acceptable Use Policy is available to all Supervised Persons on the Firm’s public network drive and compliance portal.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-44-</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40" w:right="899" w:bottom="1440" w:gutter="0" w:footer="0" w:header="0"/>
        </w:sectPr>
      </w:pPr>
    </w:p>
    <w:bookmarkStart w:id="112" w:name="page113"/>
    <w:bookmarkEnd w:id="112"/>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59429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1">
                      <a:extLst>
                        <a:ext uri="{28A0092B-C50C-407E-A947-70E740481C1C}"/>
                      </a:extLst>
                    </a:blip>
                    <a:srcRect/>
                    <a:stretch>
                      <a:fillRect/>
                    </a:stretch>
                  </pic:blipFill>
                  <pic:spPr bwMode="auto">
                    <a:xfrm>
                      <a:off x="0" y="0"/>
                      <a:ext cx="7136130" cy="5942965"/>
                    </a:xfrm>
                    <a:prstGeom prst="rect">
                      <a:avLst/>
                    </a:prstGeom>
                    <a:noFill/>
                  </pic:spPr>
                </pic:pic>
              </a:graphicData>
            </a:graphic>
          </wp:anchor>
        </w:drawing>
      </w:r>
    </w:p>
    <w:p>
      <w:pPr>
        <w:ind w:left="5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1"/>
          <w:szCs w:val="21"/>
          <w:b w:val="1"/>
          <w:bCs w:val="1"/>
          <w:u w:val="single" w:color="auto"/>
          <w:color w:val="auto"/>
        </w:rPr>
        <w:t>PERSONAL USE OF FIRM RESOURCES AND RELATIONSHIP POLICY</w:t>
      </w:r>
    </w:p>
    <w:p>
      <w:pPr>
        <w:spacing w:after="0" w:line="200" w:lineRule="exact"/>
        <w:rPr>
          <w:sz w:val="20"/>
          <w:szCs w:val="20"/>
          <w:color w:val="auto"/>
        </w:rPr>
      </w:pPr>
    </w:p>
    <w:p>
      <w:pPr>
        <w:spacing w:after="0" w:line="361" w:lineRule="exact"/>
        <w:rPr>
          <w:sz w:val="20"/>
          <w:szCs w:val="20"/>
          <w:color w:val="auto"/>
        </w:rPr>
      </w:pPr>
    </w:p>
    <w:p>
      <w:pPr>
        <w:ind w:right="20" w:firstLine="688"/>
        <w:spacing w:after="0" w:line="235" w:lineRule="auto"/>
        <w:rPr>
          <w:sz w:val="20"/>
          <w:szCs w:val="20"/>
          <w:color w:val="auto"/>
        </w:rPr>
      </w:pPr>
      <w:r>
        <w:rPr>
          <w:rFonts w:ascii="Times New Roman" w:cs="Times New Roman" w:eastAsia="Times New Roman" w:hAnsi="Times New Roman"/>
          <w:sz w:val="22"/>
          <w:szCs w:val="22"/>
          <w:color w:val="auto"/>
        </w:rPr>
        <w:t>OFS email and other OFS-sponsored communication mediums (e.g., Skype for Business) (collectively, “OFS communication platforms”) should generally only be used for conducting OFS business. While occasional use of OFS email for personal communications is permissible, Supervised Persons are prohibited from using OFS communication platforms to conduct personal outside business activities (including those involving political, civic or charitable solicitations), which may imply OFS’s sponsorship or endorsement of such activities. Use of OFS stationary for personal correspondence or other personal purposes is strictly prohibited. All communications made via OFS communication platforms are the property of OFS and use of such platforms must comply with the OFS Computer Acceptable Use Policy.</w:t>
      </w:r>
    </w:p>
    <w:p>
      <w:pPr>
        <w:spacing w:after="0" w:line="70" w:lineRule="exact"/>
        <w:rPr>
          <w:sz w:val="20"/>
          <w:szCs w:val="20"/>
          <w:color w:val="auto"/>
        </w:rPr>
      </w:pPr>
    </w:p>
    <w:p>
      <w:pPr>
        <w:ind w:right="100" w:firstLine="688"/>
        <w:spacing w:after="0" w:line="244" w:lineRule="auto"/>
        <w:rPr>
          <w:sz w:val="20"/>
          <w:szCs w:val="20"/>
          <w:color w:val="auto"/>
        </w:rPr>
      </w:pPr>
      <w:r>
        <w:rPr>
          <w:rFonts w:ascii="Times New Roman" w:cs="Times New Roman" w:eastAsia="Times New Roman" w:hAnsi="Times New Roman"/>
          <w:sz w:val="22"/>
          <w:szCs w:val="22"/>
          <w:color w:val="auto"/>
        </w:rPr>
        <w:t>Absent an exemption granted by Human Resources or Compliance, Supervised Persons are prohibited from assigning tasks associated with personal business activities to staff or soliciting assistance for such personal endeavors from staff in a junior role to the requestor.</w:t>
      </w:r>
    </w:p>
    <w:p>
      <w:pPr>
        <w:spacing w:after="0" w:line="65" w:lineRule="exact"/>
        <w:rPr>
          <w:sz w:val="20"/>
          <w:szCs w:val="20"/>
          <w:color w:val="auto"/>
        </w:rPr>
      </w:pPr>
    </w:p>
    <w:p>
      <w:pPr>
        <w:ind w:right="400" w:firstLine="688"/>
        <w:spacing w:after="0" w:line="239" w:lineRule="auto"/>
        <w:rPr>
          <w:sz w:val="20"/>
          <w:szCs w:val="20"/>
          <w:color w:val="auto"/>
        </w:rPr>
      </w:pPr>
      <w:r>
        <w:rPr>
          <w:rFonts w:ascii="Times New Roman" w:cs="Times New Roman" w:eastAsia="Times New Roman" w:hAnsi="Times New Roman"/>
          <w:sz w:val="22"/>
          <w:szCs w:val="22"/>
          <w:color w:val="auto"/>
        </w:rPr>
        <w:t>Further, Supervised Persons are prohibited from leveraging relationships with OFS clients, vendors, and other business contacts (“OFS Contacts”) gained over the course of their employment for personal purposes. Personal purposes include, but are not limited to, charitable and political activities, including solicitation of donations, and the conduct of personal business activities.</w:t>
      </w:r>
    </w:p>
    <w:p>
      <w:pPr>
        <w:spacing w:after="0" w:line="72" w:lineRule="exact"/>
        <w:rPr>
          <w:sz w:val="20"/>
          <w:szCs w:val="20"/>
          <w:color w:val="auto"/>
        </w:rPr>
      </w:pPr>
    </w:p>
    <w:p>
      <w:pPr>
        <w:ind w:firstLine="688"/>
        <w:spacing w:after="0" w:line="258" w:lineRule="auto"/>
        <w:rPr>
          <w:sz w:val="20"/>
          <w:szCs w:val="20"/>
          <w:color w:val="auto"/>
        </w:rPr>
      </w:pPr>
      <w:r>
        <w:rPr>
          <w:rFonts w:ascii="Times New Roman" w:cs="Times New Roman" w:eastAsia="Times New Roman" w:hAnsi="Times New Roman"/>
          <w:sz w:val="22"/>
          <w:szCs w:val="22"/>
          <w:color w:val="auto"/>
        </w:rPr>
        <w:t>OFS reserves the right to search and monitor the computer files of and OFS communication platforms used by any Supervised Persons, without advance notice, for purposes of monitoring compliance with this policy.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-45-</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812800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900" w:top="1440" w:right="91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3199765</wp:posOffset>
            </wp:positionH>
            <wp:positionV relativeFrom="page">
              <wp:posOffset>911860</wp:posOffset>
            </wp:positionV>
            <wp:extent cx="1148715" cy="5226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tabs>
          <w:tab w:leader="none" w:pos="9900" w:val="left"/>
        </w:tabs>
        <w:rPr>
          <w:sz w:val="20"/>
          <w:szCs w:val="20"/>
          <w:color w:val="auto"/>
        </w:rPr>
      </w:pPr>
      <w:r>
        <w:rPr>
          <w:rFonts w:ascii="Times New Roman" w:cs="Times New Roman" w:eastAsia="Times New Roman" w:hAnsi="Times New Roman"/>
          <w:sz w:val="22"/>
          <w:szCs w:val="22"/>
          <w:b w:val="1"/>
          <w:bCs w:val="1"/>
          <w:color w:val="auto"/>
        </w:rPr>
        <w:t>Whistleblower Information</w:t>
      </w:r>
      <w:r>
        <w:rPr>
          <w:sz w:val="20"/>
          <w:szCs w:val="20"/>
          <w:color w:val="auto"/>
        </w:rPr>
        <w:tab/>
      </w:r>
      <w:r>
        <w:rPr>
          <w:rFonts w:ascii="Times New Roman" w:cs="Times New Roman" w:eastAsia="Times New Roman" w:hAnsi="Times New Roman"/>
          <w:sz w:val="21"/>
          <w:szCs w:val="21"/>
          <w:b w:val="1"/>
          <w:bCs w:val="1"/>
          <w:color w:val="auto"/>
        </w:rPr>
        <w:t>Attachment A</w:t>
      </w:r>
    </w:p>
    <w:p>
      <w:pPr>
        <w:spacing w:after="0" w:line="37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listed attachment is also available on OFS Adviser’s public network drive and compliance portal, or from the Compliance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22"/>
          <w:szCs w:val="22"/>
          <w:b w:val="1"/>
          <w:bCs w:val="1"/>
          <w:color w:val="auto"/>
        </w:rPr>
        <w:t>ATTACHMENT A</w:t>
      </w:r>
    </w:p>
    <w:p>
      <w:pPr>
        <w:spacing w:after="0" w:line="200" w:lineRule="exact"/>
        <w:rPr>
          <w:sz w:val="20"/>
          <w:szCs w:val="20"/>
          <w:color w:val="auto"/>
        </w:rPr>
      </w:pPr>
    </w:p>
    <w:p>
      <w:pPr>
        <w:spacing w:after="0" w:line="20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u w:val="single" w:color="auto"/>
          <w:color w:val="auto"/>
        </w:rPr>
        <w:t>Whistleblower Hotline Information</w:t>
      </w:r>
    </w:p>
    <w:p>
      <w:pPr>
        <w:spacing w:after="0" w:line="39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Effective whistleblowing mechanisms to mitigate bribery and corruption issues are a key feature in our commitment to a high level of integrity and ethics. As part of our Whistleblower Policy, we have established a third-party confidential hotline, Report It. This hotline enables you and external parties, including our suppliers and vendors, to confidentially, and anonymously if preferred, report (i) any questionable accounting, internal accounting controls or auditing matters; (ii) non-compliance with applicable legal or regulatory requirements or this Code or any suspected violation(s) of our various codes of conduct; (iii) any activity that may adversely affect the Firm’s business or reputation; (iv) any ESG-related concerns or violations; (v) retaliation against employees and other persons who make-in good faith, allegations of (a) questionable accounting, internal accounting controls or auditing matters or (b) non-compliance with applicable legal or regulatory requirements or this Code.</w:t>
      </w:r>
    </w:p>
    <w:p>
      <w:pPr>
        <w:spacing w:after="0" w:line="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Although we encourage you to report any concerns or problems you may have to your supervisor, there may be times where you may not feel comfortable voicing these concerns or problems to them. If you desire or need to report a violation or misconduct, you can do so by either calling the Report It hotline or by logging into their website. The OFS Report It username and password information is listed below.</w:t>
      </w:r>
    </w:p>
    <w:p>
      <w:pPr>
        <w:spacing w:after="0" w:line="284" w:lineRule="exact"/>
        <w:rPr>
          <w:sz w:val="20"/>
          <w:szCs w:val="20"/>
          <w:color w:val="auto"/>
        </w:rPr>
      </w:pPr>
    </w:p>
    <w:p>
      <w:pPr>
        <w:ind w:left="2120" w:hanging="650"/>
        <w:spacing w:after="0"/>
        <w:tabs>
          <w:tab w:leader="none" w:pos="2120" w:val="left"/>
        </w:tabs>
        <w:numPr>
          <w:ilvl w:val="1"/>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Username: OFS Management</w:t>
      </w:r>
    </w:p>
    <w:p>
      <w:pPr>
        <w:spacing w:after="0" w:line="18" w:lineRule="exact"/>
        <w:rPr>
          <w:rFonts w:ascii="Times New Roman" w:cs="Times New Roman" w:eastAsia="Times New Roman" w:hAnsi="Times New Roman"/>
          <w:sz w:val="22"/>
          <w:szCs w:val="22"/>
          <w:b w:val="1"/>
          <w:bCs w:val="1"/>
          <w:color w:val="auto"/>
        </w:rPr>
      </w:pPr>
    </w:p>
    <w:p>
      <w:pPr>
        <w:ind w:left="2140" w:hanging="656"/>
        <w:spacing w:after="0"/>
        <w:tabs>
          <w:tab w:leader="none" w:pos="2140" w:val="left"/>
        </w:tabs>
        <w:numPr>
          <w:ilvl w:val="2"/>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Password: OFS Management</w:t>
      </w:r>
    </w:p>
    <w:p>
      <w:pPr>
        <w:spacing w:after="0" w:line="249" w:lineRule="exact"/>
        <w:rPr>
          <w:rFonts w:ascii="Times New Roman" w:cs="Times New Roman" w:eastAsia="Times New Roman" w:hAnsi="Times New Roman"/>
          <w:sz w:val="22"/>
          <w:szCs w:val="22"/>
          <w:b w:val="1"/>
          <w:bCs w:val="1"/>
          <w:color w:val="auto"/>
        </w:rPr>
      </w:pPr>
    </w:p>
    <w:p>
      <w:pPr>
        <w:ind w:left="1480" w:hanging="744"/>
        <w:spacing w:after="0"/>
        <w:tabs>
          <w:tab w:leader="none" w:pos="14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Toll free hotline number: 1-877-778-5463 (1-877-RPT-LINE)</w:t>
      </w:r>
    </w:p>
    <w:p>
      <w:pPr>
        <w:spacing w:after="0" w:line="30"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Website address: www.reportit.net</w:t>
      </w:r>
    </w:p>
    <w:p>
      <w:pPr>
        <w:spacing w:after="0" w:line="29" w:lineRule="exact"/>
        <w:rPr>
          <w:rFonts w:ascii="Times New Roman" w:cs="Times New Roman" w:eastAsia="Times New Roman" w:hAnsi="Times New Roman"/>
          <w:sz w:val="22"/>
          <w:szCs w:val="22"/>
          <w:color w:val="auto"/>
        </w:rPr>
      </w:pPr>
    </w:p>
    <w:p>
      <w:pPr>
        <w:ind w:left="2240" w:hanging="755"/>
        <w:spacing w:after="0"/>
        <w:tabs>
          <w:tab w:leader="none" w:pos="2240" w:val="left"/>
        </w:tabs>
        <w:numPr>
          <w:ilvl w:val="3"/>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Click on the Report It Online link</w:t>
      </w:r>
    </w:p>
    <w:p>
      <w:pPr>
        <w:spacing w:after="0" w:line="18" w:lineRule="exact"/>
        <w:rPr>
          <w:rFonts w:ascii="Times New Roman" w:cs="Times New Roman" w:eastAsia="Times New Roman" w:hAnsi="Times New Roman"/>
          <w:sz w:val="22"/>
          <w:szCs w:val="22"/>
          <w:color w:val="auto"/>
        </w:rPr>
      </w:pPr>
    </w:p>
    <w:p>
      <w:pPr>
        <w:ind w:left="2240" w:hanging="755"/>
        <w:spacing w:after="0"/>
        <w:tabs>
          <w:tab w:leader="none" w:pos="2240" w:val="left"/>
        </w:tabs>
        <w:numPr>
          <w:ilvl w:val="3"/>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Click on the Report It Now button</w:t>
      </w:r>
    </w:p>
    <w:p>
      <w:pPr>
        <w:spacing w:after="0" w:line="30" w:lineRule="exact"/>
        <w:rPr>
          <w:rFonts w:ascii="Times New Roman" w:cs="Times New Roman" w:eastAsia="Times New Roman" w:hAnsi="Times New Roman"/>
          <w:sz w:val="22"/>
          <w:szCs w:val="22"/>
          <w:color w:val="auto"/>
        </w:rPr>
      </w:pPr>
    </w:p>
    <w:p>
      <w:pPr>
        <w:ind w:left="2240" w:hanging="755"/>
        <w:spacing w:after="0"/>
        <w:tabs>
          <w:tab w:leader="none" w:pos="2240" w:val="left"/>
        </w:tabs>
        <w:numPr>
          <w:ilvl w:val="3"/>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the Username/Password under the “Create Report” column</w:t>
      </w:r>
    </w:p>
    <w:p>
      <w:pPr>
        <w:spacing w:after="0" w:line="29" w:lineRule="exact"/>
        <w:rPr>
          <w:rFonts w:ascii="Times New Roman" w:cs="Times New Roman" w:eastAsia="Times New Roman" w:hAnsi="Times New Roman"/>
          <w:sz w:val="22"/>
          <w:szCs w:val="22"/>
          <w:color w:val="auto"/>
        </w:rPr>
      </w:pPr>
    </w:p>
    <w:p>
      <w:pPr>
        <w:ind w:left="2240" w:hanging="755"/>
        <w:spacing w:after="0"/>
        <w:tabs>
          <w:tab w:leader="none" w:pos="2240" w:val="left"/>
        </w:tabs>
        <w:numPr>
          <w:ilvl w:val="3"/>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Click on the Report It Now button</w:t>
      </w:r>
    </w:p>
    <w:p>
      <w:pPr>
        <w:spacing w:after="0" w:line="36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You will be able to anonymously file a wide variety of reports from questionable accounting or auditing matters or issues with the Code of Ethics through either the website or the toll- free hotline number. Any report that you submit will be handled anonymously by Report It, and your name will not be provided by Report It to any OFS contact should you so choose to remain anonymous. We hope that by implementing this hotline service, you will be able to keep our organization free from fraudulent and unethical accounting/auditing activity while achieving our goal to maintain and conduct our business at the utmost level of professional standards and best practices.</w:t>
      </w:r>
    </w:p>
    <w:p>
      <w:pPr>
        <w:spacing w:after="0" w:line="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reports should be factual rather than speculative or conclusory and should contain as much specific information as possible to allow for proper assessment. In addition, all reports should contain sufficient corroborating information to support the commencement of an investigation, including, for example, the names of individuals suspected of violations, the relevant facts of the violations, how the person became aware of the violations, any steps previously taken by the person, who may be harmed or affected by the violations and, to the extent possible, an estimate of the misreporting or losses as a result of the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694055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115" w:name="page116"/>
    <w:bookmarkEnd w:id="115"/>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Retaliation</w:t>
      </w:r>
    </w:p>
    <w:p>
      <w:pPr>
        <w:spacing w:after="0" w:line="1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OFS will not retaliate, or allow retaliation, toward anyone who reports an actual or suspected violation by any means, including with a government or regulatory authority. Complaints of retaliation will be investigated promptly, and those who are found to have retaliated because of the report of an actual or suspected violation will be subject to appropriate disciplinary action, up to and including termination. None of the Firm’s policies should be interpreted as preventing you from reporting an actual or suspected violation by any means, including to a government, regulatory authority, or law enforcement agency. However, notwithstanding the above, in disclosing information to a government, regulatory authority, or law enforcement agency, you are not permitted to disclose any attorney-client communication and/or trade secret information of the Firm unless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OFS Capital Management</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Confidential. Do not copy or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666750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116" w:name="page117"/>
    <w:bookmarkEnd w:id="116"/>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ATTACHMENT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3175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7">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Automated Investment Plan (AIP) Preclearance Form</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Employee Name:</w:t>
            </w:r>
          </w:p>
        </w:tc>
        <w:tc>
          <w:tcPr>
            <w:tcW w:w="3260" w:type="dxa"/>
            <w:vAlign w:val="bottom"/>
            <w:tcBorders>
              <w:bottom w:val="single" w:sz="8" w:color="auto"/>
            </w:tcBorders>
          </w:tcPr>
          <w:p>
            <w:pPr>
              <w:spacing w:after="0"/>
              <w:rPr>
                <w:sz w:val="22"/>
                <w:szCs w:val="22"/>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Account Name/Type:</w:t>
            </w:r>
          </w:p>
        </w:tc>
      </w:tr>
      <w:tr>
        <w:trPr>
          <w:trHeight w:val="479"/>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Account Number:</w:t>
            </w:r>
          </w:p>
        </w:tc>
        <w:tc>
          <w:tcPr>
            <w:tcW w:w="3260" w:type="dxa"/>
            <w:vAlign w:val="bottom"/>
            <w:tcBorders>
              <w:bottom w:val="single" w:sz="8" w:color="auto"/>
            </w:tcBorders>
          </w:tcPr>
          <w:p>
            <w:pPr>
              <w:spacing w:after="0"/>
              <w:rPr>
                <w:sz w:val="24"/>
                <w:szCs w:val="24"/>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Date of First Investment(s)</w:t>
            </w:r>
          </w:p>
        </w:tc>
      </w:tr>
      <w:tr>
        <w:trPr>
          <w:trHeight w:val="262"/>
        </w:trPr>
        <w:tc>
          <w:tcPr>
            <w:tcW w:w="21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mm/dd/yyyy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-495935</wp:posOffset>
            </wp:positionV>
            <wp:extent cx="170561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8">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-178435</wp:posOffset>
            </wp:positionV>
            <wp:extent cx="170561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List Security(ies) in AIP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-142875</wp:posOffset>
            </wp:positionV>
            <wp:extent cx="5203190" cy="3086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0">
                      <a:extLst>
                        <a:ext uri="{28A0092B-C50C-407E-A947-70E740481C1C}"/>
                      </a:extLst>
                    </a:blip>
                    <a:srcRect/>
                    <a:stretch>
                      <a:fillRect/>
                    </a:stretch>
                  </pic:blipFill>
                  <pic:spPr bwMode="auto">
                    <a:xfrm>
                      <a:off x="0" y="0"/>
                      <a:ext cx="5203190" cy="3086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each security indicate</w:t>
      </w:r>
    </w:p>
    <w:p>
      <w:pPr>
        <w:spacing w:after="0"/>
        <w:rPr>
          <w:sz w:val="20"/>
          <w:szCs w:val="20"/>
          <w:color w:val="auto"/>
        </w:rPr>
      </w:pPr>
      <w:r>
        <w:rPr>
          <w:rFonts w:ascii="Times New Roman" w:cs="Times New Roman" w:eastAsia="Times New Roman" w:hAnsi="Times New Roman"/>
          <w:sz w:val="22"/>
          <w:szCs w:val="22"/>
          <w:color w:val="auto"/>
        </w:rPr>
        <w:t>frequency and dollar amount):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Attestations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0" w:right="220" w:hanging="792"/>
        <w:spacing w:after="0" w:line="222" w:lineRule="auto"/>
        <w:tabs>
          <w:tab w:leader="none" w:pos="800" w:val="left"/>
        </w:tabs>
        <w:numPr>
          <w:ilvl w:val="0"/>
          <w:numId w:val="96"/>
        </w:numPr>
        <w:rPr>
          <w:rFonts w:ascii="MS PGothic" w:cs="MS PGothic" w:eastAsia="MS PGothic" w:hAnsi="MS PGothic"/>
          <w:sz w:val="32"/>
          <w:szCs w:val="32"/>
          <w:color w:val="auto"/>
        </w:rPr>
      </w:pPr>
      <w:r>
        <w:rPr>
          <w:rFonts w:ascii="Times New Roman" w:cs="Times New Roman" w:eastAsia="Times New Roman" w:hAnsi="Times New Roman"/>
          <w:sz w:val="22"/>
          <w:szCs w:val="22"/>
          <w:color w:val="auto"/>
        </w:rPr>
        <w:t>I certify that I do not possess material non-public information (“MNPI”) directly related to the Securities of this issuer or indirectly related to another issuer (for example, Securities of an issuer in the same industry) which one may reasonably expect to be material to this investment.</w:t>
      </w:r>
    </w:p>
    <w:p>
      <w:pPr>
        <w:spacing w:after="0" w:line="178" w:lineRule="exact"/>
        <w:rPr>
          <w:rFonts w:ascii="MS PGothic" w:cs="MS PGothic" w:eastAsia="MS PGothic" w:hAnsi="MS PGothic"/>
          <w:sz w:val="32"/>
          <w:szCs w:val="32"/>
          <w:color w:val="auto"/>
        </w:rPr>
      </w:pPr>
    </w:p>
    <w:p>
      <w:pPr>
        <w:jc w:val="both"/>
        <w:ind w:left="800" w:right="900" w:hanging="792"/>
        <w:spacing w:after="0" w:line="222" w:lineRule="auto"/>
        <w:tabs>
          <w:tab w:leader="none" w:pos="800" w:val="left"/>
        </w:tabs>
        <w:numPr>
          <w:ilvl w:val="0"/>
          <w:numId w:val="96"/>
        </w:numPr>
        <w:rPr>
          <w:rFonts w:ascii="MS PGothic" w:cs="MS PGothic" w:eastAsia="MS PGothic" w:hAnsi="MS PGothic"/>
          <w:sz w:val="32"/>
          <w:szCs w:val="32"/>
          <w:color w:val="auto"/>
        </w:rPr>
      </w:pPr>
      <w:r>
        <w:rPr>
          <w:rFonts w:ascii="Times New Roman" w:cs="Times New Roman" w:eastAsia="Times New Roman" w:hAnsi="Times New Roman"/>
          <w:sz w:val="22"/>
          <w:szCs w:val="22"/>
          <w:color w:val="auto"/>
        </w:rPr>
        <w:t>If approved, I certify that I will not make any changes to the existing AIP prior to obtaining preclearance. The preclearance approval is specific to the details outlined above only and any changes to this AIP will require an additional preclearance.</w:t>
      </w:r>
    </w:p>
    <w:p>
      <w:pPr>
        <w:spacing w:after="0" w:line="138" w:lineRule="exact"/>
        <w:rPr>
          <w:rFonts w:ascii="MS PGothic" w:cs="MS PGothic" w:eastAsia="MS PGothic" w:hAnsi="MS PGothic"/>
          <w:sz w:val="32"/>
          <w:szCs w:val="32"/>
          <w:color w:val="auto"/>
        </w:rPr>
      </w:pPr>
    </w:p>
    <w:p>
      <w:pPr>
        <w:ind w:left="800" w:hanging="792"/>
        <w:spacing w:after="0"/>
        <w:tabs>
          <w:tab w:leader="none" w:pos="800" w:val="left"/>
        </w:tabs>
        <w:numPr>
          <w:ilvl w:val="0"/>
          <w:numId w:val="96"/>
        </w:numPr>
        <w:rPr>
          <w:rFonts w:ascii="MS PGothic" w:cs="MS PGothic" w:eastAsia="MS PGothic" w:hAnsi="MS PGothic"/>
          <w:sz w:val="32"/>
          <w:szCs w:val="32"/>
          <w:color w:val="auto"/>
        </w:rPr>
      </w:pPr>
      <w:r>
        <w:rPr>
          <w:rFonts w:ascii="Times New Roman" w:cs="Times New Roman" w:eastAsia="Times New Roman" w:hAnsi="Times New Roman"/>
          <w:sz w:val="22"/>
          <w:szCs w:val="22"/>
          <w:color w:val="auto"/>
        </w:rPr>
        <w:t>I certify that I will notify Compliance upon termination of this or any other disclosed 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2285365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Bilal Rashid, Chief Executive Officer of OFS Capital Corporation certify that:</w:t>
      </w:r>
    </w:p>
    <w:p>
      <w:pPr>
        <w:spacing w:after="0" w:line="198" w:lineRule="exact"/>
        <w:rPr>
          <w:sz w:val="20"/>
          <w:szCs w:val="20"/>
          <w:color w:val="auto"/>
        </w:rPr>
      </w:pPr>
    </w:p>
    <w:p>
      <w:pPr>
        <w:ind w:left="700" w:hanging="177"/>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OFS Capital Corporation (the “Registrant”);</w:t>
      </w:r>
    </w:p>
    <w:p>
      <w:pPr>
        <w:spacing w:after="0" w:line="184" w:lineRule="exact"/>
        <w:rPr>
          <w:rFonts w:ascii="Times New Roman" w:cs="Times New Roman" w:eastAsia="Times New Roman" w:hAnsi="Times New Roman"/>
          <w:sz w:val="18"/>
          <w:szCs w:val="18"/>
          <w:color w:val="auto"/>
        </w:rPr>
      </w:pPr>
    </w:p>
    <w:p>
      <w:pPr>
        <w:ind w:right="60" w:firstLine="523"/>
        <w:spacing w:after="0" w:line="282"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40" w:firstLine="523"/>
        <w:spacing w:after="0" w:line="282"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right="80" w:firstLine="523"/>
        <w:spacing w:after="0" w:line="266"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right="360" w:firstLine="1038"/>
        <w:spacing w:after="0" w:line="266" w:lineRule="auto"/>
        <w:tabs>
          <w:tab w:leader="none" w:pos="127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40" w:firstLine="1038"/>
        <w:spacing w:after="0" w:line="266" w:lineRule="auto"/>
        <w:tabs>
          <w:tab w:leader="none" w:pos="128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right="220" w:firstLine="1038"/>
        <w:spacing w:after="0" w:line="282" w:lineRule="auto"/>
        <w:tabs>
          <w:tab w:leader="none" w:pos="127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right="120" w:firstLine="1038"/>
        <w:spacing w:after="0" w:line="266" w:lineRule="auto"/>
        <w:tabs>
          <w:tab w:leader="none" w:pos="128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140" w:firstLine="523"/>
        <w:spacing w:after="0" w:line="282"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right="520" w:firstLine="1038"/>
        <w:spacing w:after="0" w:line="282" w:lineRule="auto"/>
        <w:tabs>
          <w:tab w:leader="none" w:pos="127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140" w:firstLine="1038"/>
        <w:spacing w:after="0" w:line="282" w:lineRule="auto"/>
        <w:tabs>
          <w:tab w:leader="none" w:pos="128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30th day of April, 2026.</w:t>
      </w:r>
    </w:p>
    <w:p>
      <w:pPr>
        <w:spacing w:after="0" w:line="279" w:lineRule="exact"/>
        <w:rPr>
          <w:sz w:val="20"/>
          <w:szCs w:val="20"/>
          <w:color w:val="auto"/>
        </w:rPr>
      </w:pPr>
    </w:p>
    <w:p>
      <w:pPr>
        <w:ind w:left="60"/>
        <w:spacing w:after="0"/>
        <w:tabs>
          <w:tab w:leader="none" w:pos="2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Bilal Rashid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34290</wp:posOffset>
            </wp:positionV>
            <wp:extent cx="325755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53"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8"/>
          <w:szCs w:val="18"/>
          <w:b w:val="1"/>
          <w:bCs w:val="1"/>
          <w:color w:val="auto"/>
        </w:rPr>
        <w:t>Bilal Rashid</w:t>
      </w:r>
    </w:p>
    <w:p>
      <w:pPr>
        <w:spacing w:after="0" w:line="90"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Spina, Chief Financial Officer of OFS Capital Corporation certify that:</w:t>
      </w:r>
    </w:p>
    <w:p>
      <w:pPr>
        <w:spacing w:after="0" w:line="198" w:lineRule="exact"/>
        <w:rPr>
          <w:sz w:val="20"/>
          <w:szCs w:val="20"/>
          <w:color w:val="auto"/>
        </w:rPr>
      </w:pPr>
    </w:p>
    <w:p>
      <w:pPr>
        <w:ind w:left="700" w:hanging="177"/>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OFS Capital Corporation (the “Registrant”);</w:t>
      </w:r>
    </w:p>
    <w:p>
      <w:pPr>
        <w:spacing w:after="0" w:line="184" w:lineRule="exact"/>
        <w:rPr>
          <w:rFonts w:ascii="Times New Roman" w:cs="Times New Roman" w:eastAsia="Times New Roman" w:hAnsi="Times New Roman"/>
          <w:sz w:val="18"/>
          <w:szCs w:val="18"/>
          <w:color w:val="auto"/>
        </w:rPr>
      </w:pPr>
    </w:p>
    <w:p>
      <w:pPr>
        <w:ind w:right="60" w:firstLine="523"/>
        <w:spacing w:after="0" w:line="282"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40" w:firstLine="523"/>
        <w:spacing w:after="0" w:line="282"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right="80" w:firstLine="523"/>
        <w:spacing w:after="0" w:line="266"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right="360" w:firstLine="1038"/>
        <w:spacing w:after="0" w:line="266" w:lineRule="auto"/>
        <w:tabs>
          <w:tab w:leader="none" w:pos="127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40" w:firstLine="1038"/>
        <w:spacing w:after="0" w:line="266" w:lineRule="auto"/>
        <w:tabs>
          <w:tab w:leader="none" w:pos="128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right="220" w:firstLine="1038"/>
        <w:spacing w:after="0" w:line="282" w:lineRule="auto"/>
        <w:tabs>
          <w:tab w:leader="none" w:pos="127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right="120" w:firstLine="1038"/>
        <w:spacing w:after="0" w:line="266" w:lineRule="auto"/>
        <w:tabs>
          <w:tab w:leader="none" w:pos="128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140" w:firstLine="523"/>
        <w:spacing w:after="0" w:line="282"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right="520" w:firstLine="1038"/>
        <w:spacing w:after="0" w:line="282" w:lineRule="auto"/>
        <w:tabs>
          <w:tab w:leader="none" w:pos="127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140" w:firstLine="1041"/>
        <w:spacing w:after="0" w:line="282" w:lineRule="auto"/>
        <w:tabs>
          <w:tab w:leader="none" w:pos="128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30th day of April, 2026.</w:t>
      </w:r>
    </w:p>
    <w:p>
      <w:pPr>
        <w:spacing w:after="0" w:line="279" w:lineRule="exact"/>
        <w:rPr>
          <w:sz w:val="20"/>
          <w:szCs w:val="20"/>
          <w:color w:val="auto"/>
        </w:rPr>
      </w:pPr>
    </w:p>
    <w:p>
      <w:pPr>
        <w:ind w:left="60"/>
        <w:spacing w:after="0"/>
        <w:tabs>
          <w:tab w:leader="none" w:pos="2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Spina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34290</wp:posOffset>
            </wp:positionV>
            <wp:extent cx="326580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3"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8"/>
          <w:szCs w:val="18"/>
          <w:b w:val="1"/>
          <w:bCs w:val="1"/>
          <w:color w:val="auto"/>
        </w:rPr>
        <w:t>Kyle Spina</w:t>
      </w:r>
    </w:p>
    <w:p>
      <w:pPr>
        <w:spacing w:after="0" w:line="90"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18 U.S.C. Section 1350 , as adopted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ind w:right="420" w:firstLine="51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2026 (the “Report”) of OFS Capital Corporation (the “Registrant”), as filed with the Securities and Exchange Commission on the date hereof, I, Bilal Rashid, the Chief Executive Officer of the Registrant, hereby certify, to the best of my knowledge, pursuant to 18 U.S.C. Section 1350, that:</w:t>
      </w:r>
    </w:p>
    <w:p>
      <w:pPr>
        <w:spacing w:after="0" w:line="135" w:lineRule="exact"/>
        <w:rPr>
          <w:sz w:val="20"/>
          <w:szCs w:val="20"/>
          <w:color w:val="auto"/>
        </w:rPr>
      </w:pPr>
    </w:p>
    <w:p>
      <w:pPr>
        <w:ind w:left="1300" w:hanging="262"/>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1300" w:hanging="262"/>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Bilal Rashid</w:t>
            </w:r>
          </w:p>
        </w:tc>
        <w:tc>
          <w:tcPr>
            <w:tcW w:w="0" w:type="dxa"/>
            <w:vAlign w:val="bottom"/>
          </w:tcPr>
          <w:p>
            <w:pPr>
              <w:spacing w:after="0"/>
              <w:rPr>
                <w:sz w:val="1"/>
                <w:szCs w:val="1"/>
                <w:color w:val="auto"/>
              </w:rPr>
            </w:pPr>
          </w:p>
        </w:tc>
      </w:tr>
      <w:tr>
        <w:trPr>
          <w:trHeight w:val="40"/>
        </w:trPr>
        <w:tc>
          <w:tcPr>
            <w:tcW w:w="7320" w:type="dxa"/>
            <w:vAlign w:val="bottom"/>
            <w:vMerge w:val="restart"/>
          </w:tcPr>
          <w:p>
            <w:pPr>
              <w:ind w:left="65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Bilal Rashid</w:t>
            </w:r>
          </w:p>
        </w:tc>
        <w:tc>
          <w:tcPr>
            <w:tcW w:w="0" w:type="dxa"/>
            <w:vAlign w:val="bottom"/>
          </w:tcPr>
          <w:p>
            <w:pPr>
              <w:spacing w:after="0"/>
              <w:rPr>
                <w:sz w:val="1"/>
                <w:szCs w:val="1"/>
                <w:color w:val="auto"/>
              </w:rPr>
            </w:pPr>
          </w:p>
        </w:tc>
      </w:tr>
      <w:tr>
        <w:trPr>
          <w:trHeight w:val="284"/>
        </w:trPr>
        <w:tc>
          <w:tcPr>
            <w:tcW w:w="7320" w:type="dxa"/>
            <w:vAlign w:val="bottom"/>
          </w:tcPr>
          <w:p>
            <w:pPr>
              <w:ind w:left="65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 2026</w:t>
            </w:r>
          </w:p>
        </w:tc>
        <w:tc>
          <w:tcPr>
            <w:tcW w:w="0" w:type="dxa"/>
            <w:vAlign w:val="bottom"/>
          </w:tcPr>
          <w:p>
            <w:pPr>
              <w:spacing w:after="0"/>
              <w:rPr>
                <w:sz w:val="1"/>
                <w:szCs w:val="1"/>
                <w:color w:val="auto"/>
              </w:rPr>
            </w:pPr>
          </w:p>
        </w:tc>
      </w:tr>
      <w:tr>
        <w:trPr>
          <w:trHeight w:val="1127"/>
        </w:trPr>
        <w:tc>
          <w:tcPr>
            <w:tcW w:w="73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18 U.S.C. Section 1350 , as adopted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2026 (the “Report”) of OFS Capital Corporation (the “Registrant”), as filed with the Securities and Exchange Commission on the date hereof, I, Kyle Spina, the Chief Financial Officer of the Registrant, hereby certify, to the best of my knowledge, pursuant to 18 U.S.C. Section 1350, that:</w:t>
      </w:r>
    </w:p>
    <w:p>
      <w:pPr>
        <w:spacing w:after="0" w:line="135" w:lineRule="exact"/>
        <w:rPr>
          <w:sz w:val="20"/>
          <w:szCs w:val="20"/>
          <w:color w:val="auto"/>
        </w:rPr>
      </w:pPr>
    </w:p>
    <w:p>
      <w:pPr>
        <w:ind w:left="1300" w:hanging="259"/>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1300" w:hanging="259"/>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Kyle Spina</w:t>
            </w:r>
          </w:p>
        </w:tc>
        <w:tc>
          <w:tcPr>
            <w:tcW w:w="0" w:type="dxa"/>
            <w:vAlign w:val="bottom"/>
          </w:tcPr>
          <w:p>
            <w:pPr>
              <w:spacing w:after="0"/>
              <w:rPr>
                <w:sz w:val="1"/>
                <w:szCs w:val="1"/>
                <w:color w:val="auto"/>
              </w:rPr>
            </w:pPr>
          </w:p>
        </w:tc>
      </w:tr>
      <w:tr>
        <w:trPr>
          <w:trHeight w:val="41"/>
        </w:trPr>
        <w:tc>
          <w:tcPr>
            <w:tcW w:w="7320" w:type="dxa"/>
            <w:vAlign w:val="bottom"/>
            <w:vMerge w:val="restart"/>
          </w:tcPr>
          <w:p>
            <w:pPr>
              <w:ind w:left="64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320" w:type="dxa"/>
            <w:vAlign w:val="bottom"/>
            <w:vMerge w:val="continue"/>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Kyle Spina</w:t>
            </w:r>
          </w:p>
        </w:tc>
        <w:tc>
          <w:tcPr>
            <w:tcW w:w="0" w:type="dxa"/>
            <w:vAlign w:val="bottom"/>
          </w:tcPr>
          <w:p>
            <w:pPr>
              <w:spacing w:after="0"/>
              <w:rPr>
                <w:sz w:val="1"/>
                <w:szCs w:val="1"/>
                <w:color w:val="auto"/>
              </w:rPr>
            </w:pPr>
          </w:p>
        </w:tc>
      </w:tr>
      <w:tr>
        <w:trPr>
          <w:trHeight w:val="284"/>
        </w:trPr>
        <w:tc>
          <w:tcPr>
            <w:tcW w:w="7320" w:type="dxa"/>
            <w:vAlign w:val="bottom"/>
          </w:tcPr>
          <w:p>
            <w:pPr>
              <w:ind w:left="64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 2026</w:t>
            </w:r>
          </w:p>
        </w:tc>
        <w:tc>
          <w:tcPr>
            <w:tcW w:w="0" w:type="dxa"/>
            <w:vAlign w:val="bottom"/>
          </w:tcPr>
          <w:p>
            <w:pPr>
              <w:spacing w:after="0"/>
              <w:rPr>
                <w:sz w:val="1"/>
                <w:szCs w:val="1"/>
                <w:color w:val="auto"/>
              </w:rPr>
            </w:pPr>
          </w:p>
        </w:tc>
      </w:tr>
      <w:tr>
        <w:trPr>
          <w:trHeight w:val="1127"/>
        </w:trPr>
        <w:tc>
          <w:tcPr>
            <w:tcW w:w="73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1" w:name="page122"/>
    <w:bookmarkEnd w:id="1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1)"/>
      <w:numFmt w:val="decimal"/>
      <w:start w:val="12"/>
    </w:lvl>
  </w:abstractNum>
  <w:abstractNum w:abstractNumId="6">
    <w:nsid w:val="520EEDD1"/>
    <w:multiLevelType w:val="hybridMultilevel"/>
    <w:lvl w:ilvl="0">
      <w:lvlJc w:val="left"/>
      <w:lvlText w:val="(%1)"/>
      <w:numFmt w:val="decimal"/>
      <w:start w:val="16"/>
    </w:lvl>
  </w:abstractNum>
  <w:abstractNum w:abstractNumId="7">
    <w:nsid w:val="374A3FE6"/>
    <w:multiLevelType w:val="hybridMultilevel"/>
    <w:lvl w:ilvl="0">
      <w:lvlJc w:val="left"/>
      <w:lvlText w:val="(%1)"/>
      <w:numFmt w:val="decimal"/>
      <w:start w:val="1"/>
    </w:lvl>
  </w:abstractNum>
  <w:abstractNum w:abstractNumId="8">
    <w:nsid w:val="4F4EF005"/>
    <w:multiLevelType w:val="hybridMultilevel"/>
    <w:lvl w:ilvl="0">
      <w:lvlJc w:val="left"/>
      <w:lvlText w:val="(%1)"/>
      <w:numFmt w:val="decimal"/>
      <w:start w:val="5"/>
    </w:lvl>
  </w:abstractNum>
  <w:abstractNum w:abstractNumId="9">
    <w:nsid w:val="23F9C13C"/>
    <w:multiLevelType w:val="hybridMultilevel"/>
    <w:lvl w:ilvl="0">
      <w:lvlJc w:val="left"/>
      <w:lvlText w:val="(%1)"/>
      <w:numFmt w:val="decimal"/>
      <w:start w:val="12"/>
    </w:lvl>
  </w:abstractNum>
  <w:abstractNum w:abstractNumId="10">
    <w:nsid w:val="649BB77C"/>
    <w:multiLevelType w:val="hybridMultilevel"/>
    <w:lvl w:ilvl="0">
      <w:lvlJc w:val="left"/>
      <w:lvlText w:val="(%1)"/>
      <w:numFmt w:val="decimal"/>
      <w:start w:val="1"/>
    </w:lvl>
  </w:abstractNum>
  <w:abstractNum w:abstractNumId="11">
    <w:nsid w:val="275AC794"/>
    <w:multiLevelType w:val="hybridMultilevel"/>
    <w:lvl w:ilvl="0">
      <w:lvlJc w:val="left"/>
      <w:lvlText w:val="(%1)"/>
      <w:numFmt w:val="decimal"/>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1)"/>
      <w:numFmt w:val="decimal"/>
    </w:lvl>
    <w:lvl w:ilvl="1">
      <w:lvlJc w:val="left"/>
      <w:lvlText w:val="$"/>
      <w:numFmt w:val="bullet"/>
      <w:start w:val="1"/>
    </w:lvl>
  </w:abstractNum>
  <w:abstractNum w:abstractNumId="15">
    <w:nsid w:val="235BA861"/>
    <w:multiLevelType w:val="hybridMultilevel"/>
    <w:lvl w:ilvl="0">
      <w:lvlJc w:val="left"/>
      <w:lvlText w:val="(%1)"/>
      <w:numFmt w:val="decimal"/>
    </w:lvl>
    <w:lvl w:ilvl="1">
      <w:lvlJc w:val="left"/>
      <w:lvlText w:val="$"/>
      <w:numFmt w:val="bullet"/>
      <w:start w:val="1"/>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1)"/>
      <w:numFmt w:val="decimal"/>
      <w:start w:val="1"/>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1)"/>
      <w:numFmt w:val="decimal"/>
      <w:start w:val="1"/>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1)"/>
      <w:numFmt w:val="decimal"/>
      <w:start w:val="1"/>
    </w:lvl>
  </w:abstractNum>
  <w:abstractNum w:abstractNumId="24">
    <w:nsid w:val="7E0C57B1"/>
    <w:multiLevelType w:val="hybridMultilevel"/>
    <w:lvl w:ilvl="0">
      <w:lvlJc w:val="left"/>
      <w:lvlText w:val="(%1)"/>
      <w:numFmt w:val="decimal"/>
      <w:start w:val="1"/>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decimal"/>
      <w:start w:val="1"/>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
      <w:numFmt w:val="bullet"/>
      <w:start w:val="1"/>
    </w:lvl>
    <w:lvl w:ilvl="1">
      <w:lvlJc w:val="left"/>
      <w:lvlText w:val="%2"/>
      <w:numFmt w:val="decimal"/>
      <w:start w:val="104"/>
    </w:lvl>
  </w:abstractNum>
  <w:abstractNum w:abstractNumId="29">
    <w:nsid w:val="2F305DEF"/>
    <w:multiLevelType w:val="hybridMultilevel"/>
    <w:lvl w:ilvl="0">
      <w:lvlJc w:val="left"/>
      <w:lvlText w:val="%1."/>
      <w:numFmt w:val="upperLetter"/>
      <w:start w:val="9"/>
    </w:lvl>
  </w:abstractNum>
  <w:abstractNum w:abstractNumId="30">
    <w:nsid w:val="25A70BF7"/>
    <w:multiLevelType w:val="hybridMultilevel"/>
    <w:lvl w:ilvl="0">
      <w:lvlJc w:val="left"/>
      <w:lvlText w:val="%1."/>
      <w:numFmt w:val="upperLetter"/>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1"/>
      <w:numFmt w:val="bullet"/>
      <w:start w:val="1"/>
    </w:lvl>
  </w:abstractNum>
  <w:abstractNum w:abstractNumId="33">
    <w:nsid w:val="1F48EAA1"/>
    <w:multiLevelType w:val="hybridMultilevel"/>
    <w:lvl w:ilvl="0">
      <w:lvlJc w:val="left"/>
      <w:lvlText w:val="3"/>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1."/>
      <w:numFmt w:val="upperLetter"/>
      <w:start w:val="2"/>
    </w:lvl>
  </w:abstractNum>
  <w:abstractNum w:abstractNumId="36">
    <w:nsid w:val="100F8FCA"/>
    <w:multiLevelType w:val="hybridMultilevel"/>
    <w:lvl w:ilvl="0">
      <w:lvlJc w:val="left"/>
      <w:lvlText w:val="•"/>
      <w:numFmt w:val="bullet"/>
      <w:start w:val="1"/>
    </w:lvl>
    <w:lvl w:ilvl="1">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1."/>
      <w:numFmt w:val="decimal"/>
      <w:start w:val="4"/>
    </w:lvl>
    <w:lvl w:ilvl="1">
      <w:lvlJc w:val="left"/>
      <w:lvlText w:val="•"/>
      <w:numFmt w:val="bullet"/>
      <w:start w:val="1"/>
    </w:lvl>
  </w:abstractNum>
  <w:abstractNum w:abstractNumId="40">
    <w:nsid w:val="98A3148"/>
    <w:multiLevelType w:val="hybridMultilevel"/>
    <w:lvl w:ilvl="0">
      <w:lvlJc w:val="left"/>
      <w:lvlText w:val="4"/>
      <w:numFmt w:val="bullet"/>
      <w:start w:val="1"/>
    </w:lvl>
  </w:abstractNum>
  <w:abstractNum w:abstractNumId="41">
    <w:nsid w:val="799D0247"/>
    <w:multiLevelType w:val="hybridMultilevel"/>
    <w:lvl w:ilvl="0">
      <w:lvlJc w:val="left"/>
      <w:lvlText w:val="%1."/>
      <w:numFmt w:val="decimal"/>
      <w:start w:val="11"/>
    </w:lvl>
  </w:abstractNum>
  <w:abstractNum w:abstractNumId="42">
    <w:nsid w:val="6B94764"/>
    <w:multiLevelType w:val="hybridMultilevel"/>
    <w:lvl w:ilvl="0">
      <w:lvlJc w:val="left"/>
      <w:lvlText w:val="%1"/>
      <w:numFmt w:val="upperLetter"/>
      <w:start w:val="1"/>
    </w:lvl>
    <w:lvl w:ilvl="1">
      <w:lvlJc w:val="left"/>
      <w:lvlText w:val="%2."/>
      <w:numFmt w:val="decimal"/>
      <w:start w:val="16"/>
    </w:lvl>
  </w:abstractNum>
  <w:abstractNum w:abstractNumId="43">
    <w:nsid w:val="42C296BD"/>
    <w:multiLevelType w:val="hybridMultilevel"/>
    <w:lvl w:ilvl="0">
      <w:lvlJc w:val="left"/>
      <w:lvlText w:val="%1."/>
      <w:numFmt w:val="upperLetter"/>
      <w:start w:val="3"/>
    </w:lvl>
    <w:lvl w:ilvl="1">
      <w:lvlJc w:val="left"/>
      <w:lvlText w:val="%2"/>
      <w:numFmt w:val="decimal"/>
      <w:start w:val="1"/>
    </w:lvl>
  </w:abstractNum>
  <w:abstractNum w:abstractNumId="44">
    <w:nsid w:val="168E121F"/>
    <w:multiLevelType w:val="hybridMultilevel"/>
    <w:lvl w:ilvl="0">
      <w:lvlJc w:val="left"/>
      <w:lvlText w:val="%1."/>
      <w:numFmt w:val="upperLetter"/>
      <w:start w:val="4"/>
    </w:lvl>
  </w:abstractNum>
  <w:abstractNum w:abstractNumId="45">
    <w:nsid w:val="1EBA5D23"/>
    <w:multiLevelType w:val="hybridMultilevel"/>
    <w:lvl w:ilvl="0">
      <w:lvlJc w:val="left"/>
      <w:lvlText w:val="%1."/>
      <w:numFmt w:val="upperLetter"/>
      <w:start w:val="5"/>
    </w:lvl>
  </w:abstractNum>
  <w:abstractNum w:abstractNumId="46">
    <w:nsid w:val="661E3F1E"/>
    <w:multiLevelType w:val="hybridMultilevel"/>
    <w:lvl w:ilvl="0">
      <w:lvlJc w:val="left"/>
      <w:lvlText w:val="%1."/>
      <w:numFmt w:val="upperLetter"/>
      <w:start w:val="6"/>
    </w:lvl>
  </w:abstractNum>
  <w:abstractNum w:abstractNumId="47">
    <w:nsid w:val="5DC79EA8"/>
    <w:multiLevelType w:val="hybridMultilevel"/>
    <w:lvl w:ilvl="0">
      <w:lvlJc w:val="left"/>
      <w:lvlText w:val="%1."/>
      <w:numFmt w:val="upperLetter"/>
      <w:start w:val="7"/>
    </w:lvl>
  </w:abstractNum>
  <w:abstractNum w:abstractNumId="48">
    <w:nsid w:val="540A471C"/>
    <w:multiLevelType w:val="hybridMultilevel"/>
    <w:lvl w:ilvl="0">
      <w:lvlJc w:val="left"/>
      <w:lvlText w:val="%1."/>
      <w:numFmt w:val="upperLetter"/>
      <w:start w:val="8"/>
    </w:lvl>
  </w:abstractNum>
  <w:abstractNum w:abstractNumId="49">
    <w:nsid w:val="7BD3EE7B"/>
    <w:multiLevelType w:val="hybridMultilevel"/>
    <w:lvl w:ilvl="0">
      <w:lvlJc w:val="left"/>
      <w:lvlText w:val="%1."/>
      <w:numFmt w:val="upperLetter"/>
      <w:start w:val="9"/>
    </w:lvl>
  </w:abstractNum>
  <w:abstractNum w:abstractNumId="50">
    <w:nsid w:val="51D9C564"/>
    <w:multiLevelType w:val="hybridMultilevel"/>
    <w:lvl w:ilvl="0">
      <w:lvlJc w:val="left"/>
      <w:lvlText w:val="%1."/>
      <w:numFmt w:val="upperLetter"/>
      <w:start w:val="10"/>
    </w:lvl>
  </w:abstractNum>
  <w:abstractNum w:abstractNumId="51">
    <w:nsid w:val="613EFDC5"/>
    <w:multiLevelType w:val="hybridMultilevel"/>
    <w:lvl w:ilvl="0">
      <w:lvlJc w:val="left"/>
      <w:lvlText w:val="%1."/>
      <w:numFmt w:val="upperLetter"/>
      <w:start w:val="11"/>
    </w:lvl>
  </w:abstractNum>
  <w:abstractNum w:abstractNumId="52">
    <w:nsid w:val="BF72B14"/>
    <w:multiLevelType w:val="hybridMultilevel"/>
    <w:lvl w:ilvl="0">
      <w:lvlJc w:val="left"/>
      <w:lvlText w:val="%1"/>
      <w:numFmt w:val="upperLetter"/>
      <w:start w:val="1"/>
    </w:lvl>
    <w:lvl w:ilvl="1">
      <w:lvlJc w:val="left"/>
      <w:lvlText w:val="%2."/>
      <w:numFmt w:val="upperLetter"/>
      <w:start w:val="35"/>
    </w:lvl>
  </w:abstractNum>
  <w:abstractNum w:abstractNumId="53">
    <w:nsid w:val="11447B73"/>
    <w:multiLevelType w:val="hybridMultilevel"/>
    <w:lvl w:ilvl="0">
      <w:lvlJc w:val="left"/>
      <w:lvlText w:val="%1."/>
      <w:numFmt w:val="upperLetter"/>
      <w:start w:val="1"/>
    </w:lvl>
    <w:lvl w:ilvl="1">
      <w:lvlJc w:val="left"/>
      <w:lvlText w:val="%2"/>
      <w:numFmt w:val="upperLetter"/>
      <w:start w:val="1"/>
    </w:lvl>
  </w:abstractNum>
  <w:abstractNum w:abstractNumId="54">
    <w:nsid w:val="42963E5A"/>
    <w:multiLevelType w:val="hybridMultilevel"/>
    <w:lvl w:ilvl="0">
      <w:lvlJc w:val="left"/>
      <w:lvlText w:val="5"/>
      <w:numFmt w:val="bullet"/>
      <w:start w:val="1"/>
    </w:lvl>
  </w:abstractNum>
  <w:abstractNum w:abstractNumId="55">
    <w:nsid w:val="A0382C5"/>
    <w:multiLevelType w:val="hybridMultilevel"/>
    <w:lvl w:ilvl="0">
      <w:lvlJc w:val="left"/>
      <w:lvlText w:val="%1."/>
      <w:numFmt w:val="upperLetter"/>
      <w:start w:val="2"/>
    </w:lvl>
  </w:abstractNum>
  <w:abstractNum w:abstractNumId="56">
    <w:nsid w:val="8F2B15E"/>
    <w:multiLevelType w:val="hybridMultilevel"/>
    <w:lvl w:ilvl="0">
      <w:lvlJc w:val="left"/>
      <w:lvlText w:val="6"/>
      <w:numFmt w:val="bullet"/>
      <w:start w:val="1"/>
    </w:lvl>
  </w:abstractNum>
  <w:abstractNum w:abstractNumId="57">
    <w:nsid w:val="1A32234B"/>
    <w:multiLevelType w:val="hybridMultilevel"/>
    <w:lvl w:ilvl="0">
      <w:lvlJc w:val="left"/>
      <w:lvlText w:val="o"/>
      <w:numFmt w:val="bullet"/>
      <w:start w:val="1"/>
    </w:lvl>
  </w:abstractNum>
  <w:abstractNum w:abstractNumId="58">
    <w:nsid w:val="3B0FD379"/>
    <w:multiLevelType w:val="hybridMultilevel"/>
    <w:lvl w:ilvl="0">
      <w:lvlJc w:val="left"/>
      <w:lvlText w:val="**"/>
      <w:numFmt w:val="bullet"/>
      <w:start w:val="1"/>
    </w:lvl>
    <w:lvl w:ilvl="1">
      <w:lvlJc w:val="left"/>
      <w:lvlText w:val="o"/>
      <w:numFmt w:val="bullet"/>
      <w:start w:val="1"/>
    </w:lvl>
  </w:abstractNum>
  <w:abstractNum w:abstractNumId="59">
    <w:nsid w:val="68EB2F63"/>
    <w:multiLevelType w:val="hybridMultilevel"/>
    <w:lvl w:ilvl="0">
      <w:lvlJc w:val="left"/>
      <w:lvlText w:val="o"/>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1."/>
      <w:numFmt w:val="decimal"/>
      <w:start w:val="2"/>
    </w:lvl>
    <w:lvl w:ilvl="1">
      <w:lvlJc w:val="left"/>
      <w:lvlText w:val="•"/>
      <w:numFmt w:val="bullet"/>
      <w:start w:val="1"/>
    </w:lvl>
  </w:abstractNum>
  <w:abstractNum w:abstractNumId="62">
    <w:nsid w:val="6A5EE64"/>
    <w:multiLevelType w:val="hybridMultilevel"/>
    <w:lvl w:ilvl="0">
      <w:lvlJc w:val="left"/>
      <w:lvlText w:val="%1."/>
      <w:numFmt w:val="upperLetter"/>
      <w:start w:val="3"/>
    </w:lvl>
  </w:abstractNum>
  <w:abstractNum w:abstractNumId="63">
    <w:nsid w:val="14330624"/>
    <w:multiLevelType w:val="hybridMultilevel"/>
    <w:lvl w:ilvl="0">
      <w:lvlJc w:val="left"/>
      <w:lvlText w:val="%1."/>
      <w:numFmt w:val="decimal"/>
      <w:start w:val="1"/>
    </w:lvl>
  </w:abstractNum>
  <w:abstractNum w:abstractNumId="64">
    <w:nsid w:val="7FFFCA11"/>
    <w:multiLevelType w:val="hybridMultilevel"/>
    <w:lvl w:ilvl="0">
      <w:lvlJc w:val="left"/>
      <w:lvlText w:val="(%1)"/>
      <w:numFmt w:val="lowerRoman"/>
      <w:start w:val="1"/>
    </w:lvl>
  </w:abstractNum>
  <w:abstractNum w:abstractNumId="65">
    <w:nsid w:val="1A27709E"/>
    <w:multiLevelType w:val="hybridMultilevel"/>
    <w:lvl w:ilvl="0">
      <w:lvlJc w:val="left"/>
      <w:lvlText w:val="7"/>
      <w:numFmt w:val="bullet"/>
      <w:start w:val="1"/>
    </w:lvl>
  </w:abstractNum>
  <w:abstractNum w:abstractNumId="66">
    <w:nsid w:val="71EA1109"/>
    <w:multiLevelType w:val="hybridMultilevel"/>
    <w:lvl w:ilvl="0">
      <w:lvlJc w:val="left"/>
      <w:lvlText w:val="%1."/>
      <w:numFmt w:val="upperLetter"/>
      <w:start w:val="4"/>
    </w:lvl>
  </w:abstractNum>
  <w:abstractNum w:abstractNumId="67">
    <w:nsid w:val="100F59DC"/>
    <w:multiLevelType w:val="hybridMultilevel"/>
    <w:lvl w:ilvl="0">
      <w:lvlJc w:val="left"/>
      <w:lvlText w:val="%1."/>
      <w:numFmt w:val="upperLetter"/>
      <w:start w:val="61"/>
    </w:lvl>
  </w:abstractNum>
  <w:abstractNum w:abstractNumId="68">
    <w:nsid w:val="7FB7E0AA"/>
    <w:multiLevelType w:val="hybridMultilevel"/>
    <w:lvl w:ilvl="0">
      <w:lvlJc w:val="left"/>
      <w:lvlText w:val="%1."/>
      <w:numFmt w:val="upperLetter"/>
      <w:start w:val="1"/>
    </w:lvl>
  </w:abstractNum>
  <w:abstractNum w:abstractNumId="69">
    <w:nsid w:val="6EB5BD4"/>
    <w:multiLevelType w:val="hybridMultilevel"/>
    <w:lvl w:ilvl="0">
      <w:lvlJc w:val="left"/>
      <w:lvlText w:val="8"/>
      <w:numFmt w:val="bullet"/>
      <w:start w:val="1"/>
    </w:lvl>
  </w:abstractNum>
  <w:abstractNum w:abstractNumId="70">
    <w:nsid w:val="6F6DD9AC"/>
    <w:multiLevelType w:val="hybridMultilevel"/>
    <w:lvl w:ilvl="0">
      <w:lvlJc w:val="left"/>
      <w:lvlText w:val="%1."/>
      <w:numFmt w:val="upperLetter"/>
      <w:start w:val="2"/>
    </w:lvl>
  </w:abstractNum>
  <w:abstractNum w:abstractNumId="71">
    <w:nsid w:val="94211F2"/>
    <w:multiLevelType w:val="hybridMultilevel"/>
    <w:lvl w:ilvl="0">
      <w:lvlJc w:val="left"/>
      <w:lvlText w:val="9"/>
      <w:numFmt w:val="bullet"/>
      <w:start w:val="1"/>
    </w:lvl>
  </w:abstractNum>
  <w:abstractNum w:abstractNumId="72">
    <w:nsid w:val="885E1B"/>
    <w:multiLevelType w:val="hybridMultilevel"/>
    <w:lvl w:ilvl="0">
      <w:lvlJc w:val="left"/>
      <w:lvlText w:val="%1"/>
      <w:numFmt w:val="decimal"/>
      <w:start w:val="10"/>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1."/>
      <w:numFmt w:val="upperLetter"/>
      <w:start w:val="2"/>
    </w:lvl>
    <w:lvl w:ilvl="1">
      <w:lvlJc w:val="left"/>
      <w:lvlText w:val="•"/>
      <w:numFmt w:val="bullet"/>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1."/>
      <w:numFmt w:val="decimal"/>
      <w:start w:val="2"/>
    </w:lvl>
    <w:lvl w:ilvl="1">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1."/>
      <w:numFmt w:val="upperLetter"/>
      <w:start w:val="1"/>
    </w:lvl>
  </w:abstractNum>
  <w:abstractNum w:abstractNumId="79">
    <w:nsid w:val="68EBC550"/>
    <w:multiLevelType w:val="hybridMultilevel"/>
    <w:lvl w:ilvl="0">
      <w:lvlJc w:val="left"/>
      <w:lvlText w:val="%1."/>
      <w:numFmt w:val="upperLetter"/>
      <w:start w:val="2"/>
    </w:lvl>
  </w:abstractNum>
  <w:abstractNum w:abstractNumId="80">
    <w:nsid w:val="2DF6D648"/>
    <w:multiLevelType w:val="hybridMultilevel"/>
    <w:lvl w:ilvl="0">
      <w:lvlJc w:val="left"/>
      <w:lvlText w:val="%1."/>
      <w:numFmt w:val="upperLetter"/>
      <w:start w:val="3"/>
    </w:lvl>
  </w:abstractNum>
  <w:abstractNum w:abstractNumId="81">
    <w:nsid w:val="46B7D447"/>
    <w:multiLevelType w:val="hybridMultilevel"/>
    <w:lvl w:ilvl="0">
      <w:lvlJc w:val="left"/>
      <w:lvlText w:val="%1"/>
      <w:numFmt w:val="decimal"/>
      <w:start w:val="12"/>
    </w:lvl>
  </w:abstractNum>
  <w:abstractNum w:abstractNumId="82">
    <w:nsid w:val="4A2AC315"/>
    <w:multiLevelType w:val="hybridMultilevel"/>
    <w:lvl w:ilvl="0">
      <w:lvlJc w:val="left"/>
      <w:lvlText w:val="%1"/>
      <w:numFmt w:val="upperLetter"/>
      <w:start w:val="1"/>
    </w:lvl>
    <w:lvl w:ilvl="1">
      <w:lvlJc w:val="left"/>
      <w:lvlText w:val="%2."/>
      <w:numFmt w:val="upperLetter"/>
      <w:start w:val="22"/>
    </w:lvl>
  </w:abstractNum>
  <w:abstractNum w:abstractNumId="83">
    <w:nsid w:val="39EE015C"/>
    <w:multiLevelType w:val="hybridMultilevel"/>
    <w:lvl w:ilvl="0">
      <w:lvlJc w:val="left"/>
      <w:lvlText w:val="%1."/>
      <w:numFmt w:val="upperLetter"/>
      <w:start w:val="1"/>
    </w:lvl>
    <w:lvl w:ilvl="1">
      <w:lvlJc w:val="left"/>
      <w:lvlText w:val="%2"/>
      <w:numFmt w:val="upperLetter"/>
      <w:start w:val="1"/>
    </w:lvl>
  </w:abstractNum>
  <w:abstractNum w:abstractNumId="84">
    <w:nsid w:val="57FC4FBB"/>
    <w:multiLevelType w:val="hybridMultilevel"/>
    <w:lvl w:ilvl="0">
      <w:lvlJc w:val="left"/>
      <w:lvlText w:val="%1."/>
      <w:numFmt w:val="upperLetter"/>
      <w:start w:val="2"/>
    </w:lvl>
  </w:abstractNum>
  <w:abstractNum w:abstractNumId="85">
    <w:nsid w:val="CC1016F"/>
    <w:multiLevelType w:val="hybridMultilevel"/>
    <w:lvl w:ilvl="0">
      <w:lvlJc w:val="left"/>
      <w:lvlText w:val="%1."/>
      <w:numFmt w:val="decimal"/>
      <w:start w:val="1"/>
    </w:lvl>
  </w:abstractNum>
  <w:abstractNum w:abstractNumId="86">
    <w:nsid w:val="43F18422"/>
    <w:multiLevelType w:val="hybridMultilevel"/>
    <w:lvl w:ilvl="0">
      <w:lvlJc w:val="left"/>
      <w:lvlText w:val="%1."/>
      <w:numFmt w:val="decimal"/>
      <w:start w:val="2"/>
    </w:lvl>
  </w:abstractNum>
  <w:abstractNum w:abstractNumId="87">
    <w:nsid w:val="60EF0119"/>
    <w:multiLevelType w:val="hybridMultilevel"/>
    <w:lvl w:ilvl="0">
      <w:lvlJc w:val="left"/>
      <w:lvlText w:val="%1."/>
      <w:numFmt w:val="upperLetter"/>
      <w:start w:val="3"/>
    </w:lvl>
  </w:abstractNum>
  <w:abstractNum w:abstractNumId="88">
    <w:nsid w:val="26F324BA"/>
    <w:multiLevelType w:val="hybridMultilevel"/>
    <w:lvl w:ilvl="0">
      <w:lvlJc w:val="left"/>
      <w:lvlText w:val="%1."/>
      <w:numFmt w:val="upperLetter"/>
      <w:start w:val="1"/>
    </w:lvl>
  </w:abstractNum>
  <w:abstractNum w:abstractNumId="89">
    <w:nsid w:val="7F01579B"/>
    <w:multiLevelType w:val="hybridMultilevel"/>
    <w:lvl w:ilvl="0">
      <w:lvlJc w:val="left"/>
      <w:lvlText w:val="%1."/>
      <w:numFmt w:val="upperLetter"/>
      <w:start w:val="2"/>
    </w:lvl>
  </w:abstractNum>
  <w:abstractNum w:abstractNumId="90">
    <w:nsid w:val="49DA307D"/>
    <w:multiLevelType w:val="hybridMultilevel"/>
    <w:lvl w:ilvl="0">
      <w:lvlJc w:val="left"/>
      <w:lvlText w:val="%1."/>
      <w:numFmt w:val="upperLetter"/>
      <w:start w:val="3"/>
    </w:lvl>
  </w:abstractNum>
  <w:abstractNum w:abstractNumId="91">
    <w:nsid w:val="7055A5F5"/>
    <w:multiLevelType w:val="hybridMultilevel"/>
    <w:lvl w:ilvl="0">
      <w:lvlJc w:val="left"/>
      <w:lvlText w:val="%1."/>
      <w:numFmt w:val="upperLetter"/>
      <w:start w:val="4"/>
    </w:lvl>
  </w:abstractNum>
  <w:abstractNum w:abstractNumId="92">
    <w:nsid w:val="5FB8370B"/>
    <w:multiLevelType w:val="hybridMultilevel"/>
    <w:lvl w:ilvl="0">
      <w:lvlJc w:val="left"/>
      <w:lvlText w:val="•"/>
      <w:numFmt w:val="bullet"/>
      <w:start w:val="1"/>
    </w:lvl>
  </w:abstractNum>
  <w:abstractNum w:abstractNumId="93">
    <w:nsid w:val="50801EE1"/>
    <w:multiLevelType w:val="hybridMultilevel"/>
    <w:lvl w:ilvl="0">
      <w:lvlJc w:val="left"/>
      <w:lvlText w:val="%1."/>
      <w:numFmt w:val="upperLetter"/>
      <w:start w:val="5"/>
    </w:lvl>
  </w:abstractNum>
  <w:abstractNum w:abstractNumId="94">
    <w:nsid w:val="488AC1A"/>
    <w:multiLevelType w:val="hybridMultilevel"/>
    <w:lvl w:ilvl="0">
      <w:lvlJc w:val="left"/>
      <w:lvlText w:val="%1."/>
      <w:numFmt w:val="decimal"/>
    </w:lvl>
    <w:lvl w:ilvl="1">
      <w:lvlJc w:val="left"/>
      <w:lvlText w:val="•"/>
      <w:numFmt w:val="bullet"/>
      <w:start w:val="1"/>
    </w:lvl>
    <w:lvl w:ilvl="2">
      <w:lvlJc w:val="left"/>
      <w:lvlText w:val="•"/>
      <w:numFmt w:val="bullet"/>
      <w:start w:val="1"/>
    </w:lvl>
    <w:lvl w:ilvl="3">
      <w:lvlJc w:val="left"/>
      <w:lvlText w:val="%4."/>
      <w:numFmt w:val="lowerLetter"/>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9"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1" Type="http://schemas.openxmlformats.org/officeDocument/2006/relationships/image" Target="media/image438.png"/><Relationship Id="rId452" Type="http://schemas.openxmlformats.org/officeDocument/2006/relationships/image" Target="media/image439.png"/><Relationship Id="rId453" Type="http://schemas.openxmlformats.org/officeDocument/2006/relationships/image" Target="media/image440.png"/><Relationship Id="rId454" Type="http://schemas.openxmlformats.org/officeDocument/2006/relationships/image" Target="media/image441.png"/><Relationship Id="rId455" Type="http://schemas.openxmlformats.org/officeDocument/2006/relationships/image" Target="media/image442.png"/><Relationship Id="rId456" Type="http://schemas.openxmlformats.org/officeDocument/2006/relationships/image" Target="media/image443.png"/><Relationship Id="rId457" Type="http://schemas.openxmlformats.org/officeDocument/2006/relationships/image" Target="media/image444.png"/><Relationship Id="rId458" Type="http://schemas.openxmlformats.org/officeDocument/2006/relationships/image" Target="media/image445.png"/><Relationship Id="rId459" Type="http://schemas.openxmlformats.org/officeDocument/2006/relationships/image" Target="media/image446.png"/><Relationship Id="rId460" Type="http://schemas.openxmlformats.org/officeDocument/2006/relationships/image" Target="media/image447.png"/><Relationship Id="rId461" Type="http://schemas.openxmlformats.org/officeDocument/2006/relationships/image" Target="media/image448.png"/><Relationship Id="rId462" Type="http://schemas.openxmlformats.org/officeDocument/2006/relationships/image" Target="media/image449.png"/><Relationship Id="rId463" Type="http://schemas.openxmlformats.org/officeDocument/2006/relationships/image" Target="media/image450.png"/><Relationship Id="rId464" Type="http://schemas.openxmlformats.org/officeDocument/2006/relationships/image" Target="media/image451.png"/><Relationship Id="rId465" Type="http://schemas.openxmlformats.org/officeDocument/2006/relationships/image" Target="media/image452.png"/><Relationship Id="rId466" Type="http://schemas.openxmlformats.org/officeDocument/2006/relationships/image" Target="media/image453.png"/><Relationship Id="rId467" Type="http://schemas.openxmlformats.org/officeDocument/2006/relationships/image" Target="media/image454.png"/><Relationship Id="rId468" Type="http://schemas.openxmlformats.org/officeDocument/2006/relationships/image" Target="media/image455.png"/><Relationship Id="rId469" Type="http://schemas.openxmlformats.org/officeDocument/2006/relationships/image" Target="media/image456.png"/><Relationship Id="rId470" Type="http://schemas.openxmlformats.org/officeDocument/2006/relationships/image" Target="media/image457.png"/><Relationship Id="rId471" Type="http://schemas.openxmlformats.org/officeDocument/2006/relationships/image" Target="media/image458.png"/><Relationship Id="rId472" Type="http://schemas.openxmlformats.org/officeDocument/2006/relationships/image" Target="media/image459.png"/><Relationship Id="rId473" Type="http://schemas.openxmlformats.org/officeDocument/2006/relationships/image" Target="media/image460.png"/><Relationship Id="rId474" Type="http://schemas.openxmlformats.org/officeDocument/2006/relationships/image" Target="media/image461.png"/><Relationship Id="rId475" Type="http://schemas.openxmlformats.org/officeDocument/2006/relationships/image" Target="media/image462.png"/><Relationship Id="rId476" Type="http://schemas.openxmlformats.org/officeDocument/2006/relationships/image" Target="media/image463.png"/><Relationship Id="rId477" Type="http://schemas.openxmlformats.org/officeDocument/2006/relationships/image" Target="media/image464.png"/><Relationship Id="rId478" Type="http://schemas.openxmlformats.org/officeDocument/2006/relationships/image" Target="media/image465.png"/><Relationship Id="rId479" Type="http://schemas.openxmlformats.org/officeDocument/2006/relationships/image" Target="media/image466.png"/><Relationship Id="rId480" Type="http://schemas.openxmlformats.org/officeDocument/2006/relationships/image" Target="media/image467.png"/><Relationship Id="rId481" Type="http://schemas.openxmlformats.org/officeDocument/2006/relationships/image" Target="media/image468.png"/><Relationship Id="rId482" Type="http://schemas.openxmlformats.org/officeDocument/2006/relationships/image" Target="media/image469.png"/><Relationship Id="rId483" Type="http://schemas.openxmlformats.org/officeDocument/2006/relationships/image" Target="media/image470.png"/><Relationship Id="rId484" Type="http://schemas.openxmlformats.org/officeDocument/2006/relationships/image" Target="media/image471.png"/><Relationship Id="rId485" Type="http://schemas.openxmlformats.org/officeDocument/2006/relationships/image" Target="media/image472.png"/><Relationship Id="rId486" Type="http://schemas.openxmlformats.org/officeDocument/2006/relationships/image" Target="media/image473.png"/><Relationship Id="rId487" Type="http://schemas.openxmlformats.org/officeDocument/2006/relationships/image" Target="media/image474.png"/><Relationship Id="rId488" Type="http://schemas.openxmlformats.org/officeDocument/2006/relationships/image" Target="media/image475.png"/><Relationship Id="rId489" Type="http://schemas.openxmlformats.org/officeDocument/2006/relationships/image" Target="media/image476.png"/><Relationship Id="rId490" Type="http://schemas.openxmlformats.org/officeDocument/2006/relationships/image" Target="media/image477.png"/><Relationship Id="rId491" Type="http://schemas.openxmlformats.org/officeDocument/2006/relationships/image" Target="media/image478.png"/><Relationship Id="rId492" Type="http://schemas.openxmlformats.org/officeDocument/2006/relationships/image" Target="media/image479.png"/><Relationship Id="rId493" Type="http://schemas.openxmlformats.org/officeDocument/2006/relationships/image" Target="media/image480.png"/><Relationship Id="rId494" Type="http://schemas.openxmlformats.org/officeDocument/2006/relationships/image" Target="media/image481.png"/><Relationship Id="rId495" Type="http://schemas.openxmlformats.org/officeDocument/2006/relationships/image" Target="media/image482.png"/><Relationship Id="rId496" Type="http://schemas.openxmlformats.org/officeDocument/2006/relationships/image" Target="media/image483.png"/><Relationship Id="rId497" Type="http://schemas.openxmlformats.org/officeDocument/2006/relationships/image" Target="media/image484.png"/><Relationship Id="rId498" Type="http://schemas.openxmlformats.org/officeDocument/2006/relationships/image" Target="media/image485.png"/><Relationship Id="rId499" Type="http://schemas.openxmlformats.org/officeDocument/2006/relationships/image" Target="media/image486.png"/><Relationship Id="rId500" Type="http://schemas.openxmlformats.org/officeDocument/2006/relationships/image" Target="media/image487.png"/><Relationship Id="rId501" Type="http://schemas.openxmlformats.org/officeDocument/2006/relationships/image" Target="media/image488.png"/><Relationship Id="rId502" Type="http://schemas.openxmlformats.org/officeDocument/2006/relationships/image" Target="media/image489.png"/><Relationship Id="rId503" Type="http://schemas.openxmlformats.org/officeDocument/2006/relationships/image" Target="media/image490.png"/><Relationship Id="rId504" Type="http://schemas.openxmlformats.org/officeDocument/2006/relationships/image" Target="media/image491.png"/><Relationship Id="rId505" Type="http://schemas.openxmlformats.org/officeDocument/2006/relationships/image" Target="media/image492.png"/><Relationship Id="rId506" Type="http://schemas.openxmlformats.org/officeDocument/2006/relationships/image" Target="media/image493.png"/><Relationship Id="rId507" Type="http://schemas.openxmlformats.org/officeDocument/2006/relationships/image" Target="media/image494.png"/><Relationship Id="rId508" Type="http://schemas.openxmlformats.org/officeDocument/2006/relationships/image" Target="media/image495.png"/><Relationship Id="rId509" Type="http://schemas.openxmlformats.org/officeDocument/2006/relationships/image" Target="media/image496.png"/><Relationship Id="rId510" Type="http://schemas.openxmlformats.org/officeDocument/2006/relationships/image" Target="media/image497.png"/><Relationship Id="rId511" Type="http://schemas.openxmlformats.org/officeDocument/2006/relationships/image" Target="media/image498.png"/><Relationship Id="rId512" Type="http://schemas.openxmlformats.org/officeDocument/2006/relationships/image" Target="media/image499.png"/><Relationship Id="rId513" Type="http://schemas.openxmlformats.org/officeDocument/2006/relationships/image" Target="media/image500.png"/><Relationship Id="rId514" Type="http://schemas.openxmlformats.org/officeDocument/2006/relationships/image" Target="media/image501.png"/><Relationship Id="rId515" Type="http://schemas.openxmlformats.org/officeDocument/2006/relationships/image" Target="media/image502.png"/><Relationship Id="rId516" Type="http://schemas.openxmlformats.org/officeDocument/2006/relationships/image" Target="media/image503.png"/><Relationship Id="rId517" Type="http://schemas.openxmlformats.org/officeDocument/2006/relationships/image" Target="media/image504.png"/><Relationship Id="rId518" Type="http://schemas.openxmlformats.org/officeDocument/2006/relationships/image" Target="media/image505.png"/><Relationship Id="rId519" Type="http://schemas.openxmlformats.org/officeDocument/2006/relationships/image" Target="media/image506.png"/><Relationship Id="rId520" Type="http://schemas.openxmlformats.org/officeDocument/2006/relationships/image" Target="media/image507.png"/><Relationship Id="rId521" Type="http://schemas.openxmlformats.org/officeDocument/2006/relationships/image" Target="media/image508.png"/><Relationship Id="rId522" Type="http://schemas.openxmlformats.org/officeDocument/2006/relationships/image" Target="media/image509.png"/><Relationship Id="rId523" Type="http://schemas.openxmlformats.org/officeDocument/2006/relationships/image" Target="media/image510.png"/><Relationship Id="rId524" Type="http://schemas.openxmlformats.org/officeDocument/2006/relationships/image" Target="media/image511.png"/><Relationship Id="rId525" Type="http://schemas.openxmlformats.org/officeDocument/2006/relationships/image" Target="media/image512.png"/><Relationship Id="rId526" Type="http://schemas.openxmlformats.org/officeDocument/2006/relationships/image" Target="media/image513.png"/><Relationship Id="rId527" Type="http://schemas.openxmlformats.org/officeDocument/2006/relationships/image" Target="media/image514.png"/><Relationship Id="rId528" Type="http://schemas.openxmlformats.org/officeDocument/2006/relationships/image" Target="media/image515.png"/><Relationship Id="rId529" Type="http://schemas.openxmlformats.org/officeDocument/2006/relationships/image" Target="media/image516.png"/><Relationship Id="rId530" Type="http://schemas.openxmlformats.org/officeDocument/2006/relationships/image" Target="media/image517.png"/><Relationship Id="rId531" Type="http://schemas.openxmlformats.org/officeDocument/2006/relationships/image" Target="media/image518.png"/><Relationship Id="rId532" Type="http://schemas.openxmlformats.org/officeDocument/2006/relationships/image" Target="media/image519.png"/><Relationship Id="rId533" Type="http://schemas.openxmlformats.org/officeDocument/2006/relationships/image" Target="media/image520.png"/><Relationship Id="rId534" Type="http://schemas.openxmlformats.org/officeDocument/2006/relationships/image" Target="media/image521.png"/><Relationship Id="rId535" Type="http://schemas.openxmlformats.org/officeDocument/2006/relationships/image" Target="media/image522.png"/><Relationship Id="rId536" Type="http://schemas.openxmlformats.org/officeDocument/2006/relationships/image" Target="media/image523.png"/><Relationship Id="rId537" Type="http://schemas.openxmlformats.org/officeDocument/2006/relationships/image" Target="media/image524.png"/><Relationship Id="rId538" Type="http://schemas.openxmlformats.org/officeDocument/2006/relationships/image" Target="media/image525.png"/><Relationship Id="rId539" Type="http://schemas.openxmlformats.org/officeDocument/2006/relationships/image" Target="media/image526.png"/><Relationship Id="rId540" Type="http://schemas.openxmlformats.org/officeDocument/2006/relationships/image" Target="media/image527.png"/><Relationship Id="rId541" Type="http://schemas.openxmlformats.org/officeDocument/2006/relationships/image" Target="media/image528.png"/><Relationship Id="rId542" Type="http://schemas.openxmlformats.org/officeDocument/2006/relationships/image" Target="media/image529.png"/><Relationship Id="rId543" Type="http://schemas.openxmlformats.org/officeDocument/2006/relationships/image" Target="media/image530.jpeg"/><Relationship Id="rId544" Type="http://schemas.openxmlformats.org/officeDocument/2006/relationships/image" Target="media/image531.png"/><Relationship Id="rId545" Type="http://schemas.openxmlformats.org/officeDocument/2006/relationships/image" Target="media/image532.png"/><Relationship Id="rId546" Type="http://schemas.openxmlformats.org/officeDocument/2006/relationships/image" Target="media/image533.png"/><Relationship Id="rId547" Type="http://schemas.openxmlformats.org/officeDocument/2006/relationships/image" Target="media/image534.png"/><Relationship Id="rId548" Type="http://schemas.openxmlformats.org/officeDocument/2006/relationships/image" Target="media/image535.png"/><Relationship Id="rId549" Type="http://schemas.openxmlformats.org/officeDocument/2006/relationships/image" Target="media/image536.png"/><Relationship Id="rId550" Type="http://schemas.openxmlformats.org/officeDocument/2006/relationships/image" Target="media/image537.png"/><Relationship Id="rId551" Type="http://schemas.openxmlformats.org/officeDocument/2006/relationships/image" Target="media/image538.png"/><Relationship Id="rId552" Type="http://schemas.openxmlformats.org/officeDocument/2006/relationships/image" Target="media/image539.png"/><Relationship Id="rId553" Type="http://schemas.openxmlformats.org/officeDocument/2006/relationships/image" Target="media/image540.png"/><Relationship Id="rId554" Type="http://schemas.openxmlformats.org/officeDocument/2006/relationships/image" Target="media/image541.png"/><Relationship Id="rId555" Type="http://schemas.openxmlformats.org/officeDocument/2006/relationships/image" Target="media/image542.png"/><Relationship Id="rId556" Type="http://schemas.openxmlformats.org/officeDocument/2006/relationships/image" Target="media/image543.png"/><Relationship Id="rId557" Type="http://schemas.openxmlformats.org/officeDocument/2006/relationships/image" Target="media/image544.png"/><Relationship Id="rId558" Type="http://schemas.openxmlformats.org/officeDocument/2006/relationships/image" Target="media/image545.png"/><Relationship Id="rId559" Type="http://schemas.openxmlformats.org/officeDocument/2006/relationships/image" Target="media/image546.png"/><Relationship Id="rId436" Type="http://schemas.openxmlformats.org/officeDocument/2006/relationships/hyperlink" Target="https://www.sec.gov/Archives/edgar/data/1487918/000119312511070291/dex99a2.htm" TargetMode="External"/><Relationship Id="rId437" Type="http://schemas.openxmlformats.org/officeDocument/2006/relationships/hyperlink" Target="https://www.sec.gov/Archives/edgar/data/1487918/000119312513126858/d504495dex33.htm" TargetMode="External"/><Relationship Id="rId438" Type="http://schemas.openxmlformats.org/officeDocument/2006/relationships/hyperlink" Target="https://www.sec.gov/Archives/edgar/data/1487918/000119312511070291/dex99b2.htm" TargetMode="External"/><Relationship Id="rId440" Type="http://schemas.openxmlformats.org/officeDocument/2006/relationships/hyperlink" Target="https://www.sec.gov/Archives/edgar/data/1487918/000148791826000016/ofscc-natixisablrcsa22026.htm" TargetMode="External"/><Relationship Id="rId447" Type="http://schemas.openxmlformats.org/officeDocument/2006/relationships/hyperlink" Target="https://www.sec.gov/Archives/edgar/data/1487918/000148791826000006/ofscc8thamendmenttothebla1.htm" TargetMode="External"/><Relationship Id="rId450" Type="http://schemas.openxmlformats.org/officeDocument/2006/relationships/hyperlink" Target="https://www.sec.gov/Archives/edgar/data/1487918/000148791826000025/bocamendmentninetobla327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2026-05-01T08:37:27Z</dcterms:created>
  <dcterms:modified xsi:type="dcterms:W3CDTF">2026-05-01T08:37:27Z</dcterms:modified>
</cp:coreProperties>
</file>