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media/image1.gif" ContentType="image/gif"/>
  <Override PartName="/word/media/image2.jpeg" ContentType="image/jpeg"/>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jc w:val="left"/>
        <w:rPr/>
      </w:pPr>
      <w:bookmarkStart w:id="0" w:name="ofscc_sm_lts_7.30.26.htm"/>
      <w:bookmarkStart w:id="1" w:name="ksofscc_sm_lts_7"/>
      <w:bookmarkEnd w:id="0"/>
      <w:bookmarkEnd w:id="1"/>
      <w:r>
        <w:rPr/>
        <w:t> </w:t>
      </w:r>
    </w:p>
    <w:p>
      <w:pPr>
        <w:pStyle w:val="TextBody"/>
        <w:bidi w:val="0"/>
        <w:jc w:val="center"/>
        <w:rPr>
          <w:rFonts w:ascii="Times New Roman" w:hAnsi="Times New Roman"/>
          <w:b/>
          <w:color w:val="000000"/>
          <w:sz w:val="20"/>
        </w:rPr>
      </w:pPr>
      <w:r>
        <w:rPr>
          <w:rFonts w:ascii="Times New Roman" w:hAnsi="Times New Roman"/>
          <w:b/>
          <w:color w:val="000000"/>
          <w:sz w:val="20"/>
        </w:rPr>
        <w:t>UNITED STATES</w:t>
        <w:br/>
        <w:t>SECURITIES AND EXCHANGE COMMISSION</w:t>
        <w:br/>
        <w:t>WASHINGTON, D.C. 20549</w:t>
      </w:r>
    </w:p>
    <w:p>
      <w:pPr>
        <w:pStyle w:val="TextBody"/>
        <w:bidi w:val="0"/>
        <w:spacing w:before="120" w:after="120"/>
        <w:jc w:val="center"/>
        <w:rPr>
          <w:rFonts w:ascii="Times New Roman" w:hAnsi="Times New Roman"/>
          <w:b/>
          <w:color w:val="000000"/>
          <w:sz w:val="28"/>
        </w:rPr>
      </w:pPr>
      <w:r>
        <w:rPr>
          <w:rFonts w:ascii="Times New Roman" w:hAnsi="Times New Roman"/>
          <w:b/>
          <w:color w:val="000000"/>
          <w:sz w:val="28"/>
        </w:rPr>
        <w:t>SCHEDULE 14A</w:t>
      </w:r>
    </w:p>
    <w:p>
      <w:pPr>
        <w:pStyle w:val="TextBody"/>
        <w:bidi w:val="0"/>
        <w:spacing w:before="0" w:after="60"/>
        <w:jc w:val="center"/>
        <w:rPr>
          <w:rFonts w:ascii="Times New Roman" w:hAnsi="Times New Roman"/>
          <w:b/>
          <w:color w:val="000000"/>
          <w:sz w:val="24"/>
        </w:rPr>
      </w:pPr>
      <w:r>
        <w:rPr>
          <w:rFonts w:ascii="Times New Roman" w:hAnsi="Times New Roman"/>
          <w:b/>
          <w:color w:val="000000"/>
          <w:sz w:val="24"/>
        </w:rPr>
        <w:t>(Rule 14a-101)</w:t>
      </w:r>
    </w:p>
    <w:p>
      <w:pPr>
        <w:pStyle w:val="TextBody"/>
        <w:bidi w:val="0"/>
        <w:spacing w:before="0" w:after="60"/>
        <w:jc w:val="center"/>
        <w:rPr>
          <w:rFonts w:ascii="Times New Roman" w:hAnsi="Times New Roman"/>
          <w:b/>
          <w:color w:val="000000"/>
          <w:sz w:val="24"/>
        </w:rPr>
      </w:pPr>
      <w:r>
        <w:rPr>
          <w:rFonts w:ascii="Times New Roman" w:hAnsi="Times New Roman"/>
          <w:b/>
          <w:color w:val="000000"/>
          <w:sz w:val="24"/>
        </w:rPr>
        <w:t>INFORMATION REQUIRED IN PROXY STATEMENT</w:t>
      </w:r>
    </w:p>
    <w:p>
      <w:pPr>
        <w:pStyle w:val="TextBody"/>
        <w:bidi w:val="0"/>
        <w:spacing w:before="0" w:after="120"/>
        <w:jc w:val="center"/>
        <w:rPr>
          <w:rFonts w:ascii="Times New Roman" w:hAnsi="Times New Roman"/>
          <w:b/>
          <w:color w:val="000000"/>
          <w:sz w:val="24"/>
        </w:rPr>
      </w:pPr>
      <w:r>
        <w:rPr>
          <w:rFonts w:ascii="Times New Roman" w:hAnsi="Times New Roman"/>
          <w:b/>
          <w:color w:val="000000"/>
          <w:sz w:val="24"/>
        </w:rPr>
        <w:t>SCHEDULE 14A INFORMATION</w:t>
      </w:r>
    </w:p>
    <w:p>
      <w:pPr>
        <w:pStyle w:val="TextBody"/>
        <w:bidi w:val="0"/>
        <w:jc w:val="center"/>
        <w:rPr>
          <w:rFonts w:ascii="Times New Roman" w:hAnsi="Times New Roman"/>
          <w:color w:val="000000"/>
          <w:sz w:val="20"/>
        </w:rPr>
      </w:pPr>
      <w:r>
        <w:rPr>
          <w:rFonts w:ascii="Times New Roman" w:hAnsi="Times New Roman"/>
          <w:color w:val="000000"/>
          <w:sz w:val="20"/>
        </w:rPr>
        <w:t>Proxy Statement Pursuant to Section 14(a) of the Securities</w:t>
        <w:br/>
        <w:t>Exchange Act of 1934 (Amendment No. )</w:t>
      </w:r>
    </w:p>
    <w:p>
      <w:pPr>
        <w:pStyle w:val="TextBody"/>
        <w:bidi w:val="0"/>
        <w:jc w:val="left"/>
        <w:rPr/>
      </w:pPr>
      <w:r>
        <w:rPr/>
        <w:t> </w:t>
      </w:r>
    </w:p>
    <w:tbl>
      <w:tblPr>
        <w:tblW w:w="7082" w:type="dxa"/>
        <w:jc w:val="left"/>
        <w:tblInd w:w="0" w:type="dxa"/>
        <w:tblLayout w:type="fixed"/>
        <w:tblCellMar>
          <w:top w:w="28" w:type="dxa"/>
          <w:left w:w="28" w:type="dxa"/>
          <w:bottom w:w="28" w:type="dxa"/>
          <w:right w:w="28" w:type="dxa"/>
        </w:tblCellMar>
      </w:tblPr>
      <w:tblGrid>
        <w:gridCol w:w="256"/>
        <w:gridCol w:w="6826"/>
      </w:tblGrid>
      <w:tr>
        <w:trPr/>
        <w:tc>
          <w:tcPr>
            <w:tcW w:w="256" w:type="dxa"/>
            <w:tcBorders/>
            <w:vAlign w:val="center"/>
          </w:tcPr>
          <w:p>
            <w:pPr>
              <w:pStyle w:val="TableContents"/>
              <w:bidi w:val="0"/>
              <w:spacing w:before="0" w:after="283"/>
              <w:jc w:val="left"/>
              <w:rPr>
                <w:sz w:val="4"/>
                <w:szCs w:val="4"/>
              </w:rPr>
            </w:pPr>
            <w:r>
              <w:rPr>
                <w:sz w:val="4"/>
                <w:szCs w:val="4"/>
              </w:rPr>
            </w:r>
          </w:p>
        </w:tc>
        <w:tc>
          <w:tcPr>
            <w:tcW w:w="6826" w:type="dxa"/>
            <w:tcBorders/>
            <w:vAlign w:val="center"/>
          </w:tcPr>
          <w:p>
            <w:pPr>
              <w:pStyle w:val="TableContents"/>
              <w:bidi w:val="0"/>
              <w:spacing w:before="0" w:after="283"/>
              <w:jc w:val="left"/>
              <w:rPr>
                <w:sz w:val="4"/>
                <w:szCs w:val="4"/>
              </w:rPr>
            </w:pPr>
            <w:r>
              <w:rPr>
                <w:sz w:val="4"/>
                <w:szCs w:val="4"/>
              </w:rPr>
            </w:r>
          </w:p>
        </w:tc>
      </w:tr>
      <w:tr>
        <w:trPr/>
        <w:tc>
          <w:tcPr>
            <w:tcW w:w="7082" w:type="dxa"/>
            <w:gridSpan w:val="2"/>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Filed by the Registrant </w:t>
            </w:r>
          </w:p>
        </w:tc>
      </w:tr>
      <w:tr>
        <w:trPr/>
        <w:tc>
          <w:tcPr>
            <w:tcW w:w="7082" w:type="dxa"/>
            <w:gridSpan w:val="2"/>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Filed by a Party other than the Registrant </w:t>
            </w:r>
          </w:p>
        </w:tc>
      </w:tr>
      <w:tr>
        <w:trPr/>
        <w:tc>
          <w:tcPr>
            <w:tcW w:w="7082" w:type="dxa"/>
            <w:gridSpan w:val="2"/>
            <w:tcBorders/>
            <w:tcMar>
              <w:top w:w="0" w:type="dxa"/>
              <w:left w:w="0" w:type="dxa"/>
              <w:bottom w:w="0" w:type="dxa"/>
              <w:right w:w="0" w:type="dxa"/>
            </w:tcMar>
            <w:vAlign w:val="center"/>
          </w:tcPr>
          <w:p>
            <w:pPr>
              <w:pStyle w:val="TableContents"/>
              <w:bidi w:val="0"/>
              <w:spacing w:before="0" w:after="120"/>
              <w:jc w:val="left"/>
              <w:rPr>
                <w:rFonts w:ascii="Times New Roman" w:hAnsi="Times New Roman"/>
                <w:color w:val="000000"/>
                <w:sz w:val="20"/>
              </w:rPr>
            </w:pPr>
            <w:r>
              <w:rPr>
                <w:rFonts w:ascii="Times New Roman" w:hAnsi="Times New Roman"/>
                <w:color w:val="000000"/>
                <w:sz w:val="20"/>
              </w:rPr>
              <w:t>Check the appropriate box:</w:t>
            </w:r>
          </w:p>
        </w:tc>
      </w:tr>
      <w:tr>
        <w:trPr/>
        <w:tc>
          <w:tcPr>
            <w:tcW w:w="256" w:type="dxa"/>
            <w:tcBorders/>
            <w:tcMar>
              <w:top w:w="0" w:type="dxa"/>
              <w:left w:w="0" w:type="dxa"/>
              <w:bottom w:w="0" w:type="dxa"/>
              <w:right w:w="0" w:type="dxa"/>
            </w:tcMar>
            <w:vAlign w:val="center"/>
          </w:tcPr>
          <w:p>
            <w:pPr>
              <w:pStyle w:val="TableContents"/>
              <w:bidi w:val="0"/>
              <w:spacing w:before="0" w:after="283"/>
              <w:jc w:val="left"/>
              <w:rPr>
                <w:color w:val="000000"/>
              </w:rPr>
            </w:pPr>
            <w:r>
              <w:rPr>
                <w:color w:val="000000"/>
              </w:rPr>
              <w:t></w:t>
            </w:r>
          </w:p>
        </w:tc>
        <w:tc>
          <w:tcPr>
            <w:tcW w:w="6826"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Preliminary proxy statement</w:t>
            </w:r>
          </w:p>
        </w:tc>
      </w:tr>
      <w:tr>
        <w:trPr/>
        <w:tc>
          <w:tcPr>
            <w:tcW w:w="256" w:type="dxa"/>
            <w:tcBorders/>
            <w:tcMar>
              <w:top w:w="0" w:type="dxa"/>
              <w:left w:w="0" w:type="dxa"/>
              <w:bottom w:w="0" w:type="dxa"/>
              <w:right w:w="0" w:type="dxa"/>
            </w:tcMar>
            <w:vAlign w:val="center"/>
          </w:tcPr>
          <w:p>
            <w:pPr>
              <w:pStyle w:val="TableContents"/>
              <w:bidi w:val="0"/>
              <w:spacing w:before="0" w:after="283"/>
              <w:jc w:val="left"/>
              <w:rPr>
                <w:color w:val="000000"/>
              </w:rPr>
            </w:pPr>
            <w:r>
              <w:rPr>
                <w:color w:val="000000"/>
              </w:rPr>
              <w:t></w:t>
            </w:r>
          </w:p>
        </w:tc>
        <w:tc>
          <w:tcPr>
            <w:tcW w:w="6826"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Confidential, for Use of the Commission Only (as permitted by Rule 14a-6(e)(2))</w:t>
            </w:r>
          </w:p>
        </w:tc>
      </w:tr>
      <w:tr>
        <w:trPr/>
        <w:tc>
          <w:tcPr>
            <w:tcW w:w="256" w:type="dxa"/>
            <w:tcBorders/>
            <w:tcMar>
              <w:top w:w="0" w:type="dxa"/>
              <w:left w:w="0" w:type="dxa"/>
              <w:bottom w:w="0" w:type="dxa"/>
              <w:right w:w="0" w:type="dxa"/>
            </w:tcMar>
            <w:vAlign w:val="center"/>
          </w:tcPr>
          <w:p>
            <w:pPr>
              <w:pStyle w:val="TableContents"/>
              <w:bidi w:val="0"/>
              <w:spacing w:before="0" w:after="283"/>
              <w:jc w:val="left"/>
              <w:rPr>
                <w:color w:val="000000"/>
              </w:rPr>
            </w:pPr>
            <w:r>
              <w:rPr>
                <w:color w:val="000000"/>
              </w:rPr>
              <w:t></w:t>
            </w:r>
          </w:p>
        </w:tc>
        <w:tc>
          <w:tcPr>
            <w:tcW w:w="6826"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Definitive Proxy Statement</w:t>
            </w:r>
          </w:p>
        </w:tc>
      </w:tr>
      <w:tr>
        <w:trPr/>
        <w:tc>
          <w:tcPr>
            <w:tcW w:w="256" w:type="dxa"/>
            <w:tcBorders/>
            <w:tcMar>
              <w:top w:w="0" w:type="dxa"/>
              <w:left w:w="0" w:type="dxa"/>
              <w:bottom w:w="0" w:type="dxa"/>
              <w:right w:w="0" w:type="dxa"/>
            </w:tcMar>
            <w:vAlign w:val="center"/>
          </w:tcPr>
          <w:p>
            <w:pPr>
              <w:pStyle w:val="TableContents"/>
              <w:bidi w:val="0"/>
              <w:spacing w:before="0" w:after="283"/>
              <w:jc w:val="left"/>
              <w:rPr>
                <w:color w:val="000000"/>
              </w:rPr>
            </w:pPr>
            <w:r>
              <w:rPr>
                <w:color w:val="000000"/>
              </w:rPr>
              <w:t></w:t>
            </w:r>
          </w:p>
        </w:tc>
        <w:tc>
          <w:tcPr>
            <w:tcW w:w="6826"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Definitive Additional Materials</w:t>
            </w:r>
          </w:p>
        </w:tc>
      </w:tr>
      <w:tr>
        <w:trPr/>
        <w:tc>
          <w:tcPr>
            <w:tcW w:w="256" w:type="dxa"/>
            <w:tcBorders/>
            <w:tcMar>
              <w:top w:w="0" w:type="dxa"/>
              <w:left w:w="0" w:type="dxa"/>
              <w:bottom w:w="0" w:type="dxa"/>
              <w:right w:w="0" w:type="dxa"/>
            </w:tcMar>
            <w:vAlign w:val="center"/>
          </w:tcPr>
          <w:p>
            <w:pPr>
              <w:pStyle w:val="TableContents"/>
              <w:bidi w:val="0"/>
              <w:spacing w:before="0" w:after="283"/>
              <w:jc w:val="left"/>
              <w:rPr>
                <w:color w:val="000000"/>
              </w:rPr>
            </w:pPr>
            <w:r>
              <w:rPr>
                <w:color w:val="000000"/>
              </w:rPr>
              <w:t></w:t>
            </w:r>
          </w:p>
        </w:tc>
        <w:tc>
          <w:tcPr>
            <w:tcW w:w="6826"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Soliciting Material Pursuant to §240.14a-12</w:t>
            </w:r>
          </w:p>
        </w:tc>
      </w:tr>
    </w:tbl>
    <w:p>
      <w:pPr>
        <w:pStyle w:val="TextBody"/>
        <w:bidi w:val="0"/>
        <w:jc w:val="left"/>
        <w:rPr/>
      </w:pPr>
      <w:r>
        <w:rPr/>
        <w:t> </w:t>
      </w:r>
    </w:p>
    <w:tbl>
      <w:tblPr>
        <w:tblW w:w="8672" w:type="dxa"/>
        <w:jc w:val="left"/>
        <w:tblInd w:w="0" w:type="dxa"/>
        <w:tblLayout w:type="fixed"/>
        <w:tblCellMar>
          <w:top w:w="28" w:type="dxa"/>
          <w:left w:w="28" w:type="dxa"/>
          <w:bottom w:w="28" w:type="dxa"/>
          <w:right w:w="28" w:type="dxa"/>
        </w:tblCellMar>
      </w:tblPr>
      <w:tblGrid>
        <w:gridCol w:w="256"/>
        <w:gridCol w:w="8416"/>
      </w:tblGrid>
      <w:tr>
        <w:trPr/>
        <w:tc>
          <w:tcPr>
            <w:tcW w:w="256" w:type="dxa"/>
            <w:tcBorders/>
            <w:vAlign w:val="center"/>
          </w:tcPr>
          <w:p>
            <w:pPr>
              <w:pStyle w:val="TableContents"/>
              <w:bidi w:val="0"/>
              <w:spacing w:before="0" w:after="283"/>
              <w:jc w:val="left"/>
              <w:rPr>
                <w:sz w:val="4"/>
                <w:szCs w:val="4"/>
              </w:rPr>
            </w:pPr>
            <w:r>
              <w:rPr>
                <w:sz w:val="4"/>
                <w:szCs w:val="4"/>
              </w:rPr>
            </w:r>
          </w:p>
        </w:tc>
        <w:tc>
          <w:tcPr>
            <w:tcW w:w="8416" w:type="dxa"/>
            <w:tcBorders/>
            <w:vAlign w:val="center"/>
          </w:tcPr>
          <w:p>
            <w:pPr>
              <w:pStyle w:val="TableContents"/>
              <w:bidi w:val="0"/>
              <w:spacing w:before="0" w:after="283"/>
              <w:jc w:val="left"/>
              <w:rPr>
                <w:sz w:val="4"/>
                <w:szCs w:val="4"/>
              </w:rPr>
            </w:pPr>
            <w:r>
              <w:rPr>
                <w:sz w:val="4"/>
                <w:szCs w:val="4"/>
              </w:rPr>
            </w:r>
          </w:p>
        </w:tc>
      </w:tr>
      <w:tr>
        <w:trPr/>
        <w:tc>
          <w:tcPr>
            <w:tcW w:w="8672" w:type="dxa"/>
            <w:gridSpan w:val="2"/>
            <w:tcBorders>
              <w:bottom w:val="single" w:sz="8" w:space="0" w:color="000000"/>
            </w:tcBorders>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OFS Capital Corporation</w:t>
            </w:r>
          </w:p>
        </w:tc>
      </w:tr>
      <w:tr>
        <w:trPr/>
        <w:tc>
          <w:tcPr>
            <w:tcW w:w="8672" w:type="dxa"/>
            <w:gridSpan w:val="2"/>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(Name of Registrant as Specified In Its Charter)</w:t>
            </w:r>
          </w:p>
        </w:tc>
      </w:tr>
      <w:tr>
        <w:trPr/>
        <w:tc>
          <w:tcPr>
            <w:tcW w:w="8672" w:type="dxa"/>
            <w:gridSpan w:val="2"/>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r>
      <w:tr>
        <w:trPr/>
        <w:tc>
          <w:tcPr>
            <w:tcW w:w="8672" w:type="dxa"/>
            <w:gridSpan w:val="2"/>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(Name of Person(s) Filing Proxy Statement, if Other Than the Registrant)</w:t>
            </w:r>
          </w:p>
        </w:tc>
      </w:tr>
      <w:tr>
        <w:trPr/>
        <w:tc>
          <w:tcPr>
            <w:tcW w:w="8672" w:type="dxa"/>
            <w:gridSpan w:val="2"/>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672" w:type="dxa"/>
            <w:gridSpan w:val="2"/>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Payment of Filing Fee (Check the appropriate box):</w:t>
            </w:r>
          </w:p>
        </w:tc>
      </w:tr>
      <w:tr>
        <w:trPr/>
        <w:tc>
          <w:tcPr>
            <w:tcW w:w="256" w:type="dxa"/>
            <w:tcBorders/>
            <w:tcMar>
              <w:top w:w="0" w:type="dxa"/>
              <w:left w:w="0" w:type="dxa"/>
              <w:bottom w:w="0" w:type="dxa"/>
              <w:right w:w="0" w:type="dxa"/>
            </w:tcMar>
            <w:vAlign w:val="center"/>
          </w:tcPr>
          <w:p>
            <w:pPr>
              <w:pStyle w:val="TableContents"/>
              <w:bidi w:val="0"/>
              <w:spacing w:before="120" w:after="283"/>
              <w:jc w:val="left"/>
              <w:rPr>
                <w:color w:val="000000"/>
              </w:rPr>
            </w:pPr>
            <w:r>
              <w:rPr>
                <w:color w:val="000000"/>
              </w:rPr>
              <w:t></w:t>
            </w:r>
          </w:p>
        </w:tc>
        <w:tc>
          <w:tcPr>
            <w:tcW w:w="8416"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No fee required.</w:t>
            </w:r>
          </w:p>
        </w:tc>
      </w:tr>
      <w:tr>
        <w:trPr/>
        <w:tc>
          <w:tcPr>
            <w:tcW w:w="256" w:type="dxa"/>
            <w:tcBorders/>
            <w:tcMar>
              <w:top w:w="0" w:type="dxa"/>
              <w:left w:w="0" w:type="dxa"/>
              <w:bottom w:w="0" w:type="dxa"/>
              <w:right w:w="0" w:type="dxa"/>
            </w:tcMar>
            <w:vAlign w:val="center"/>
          </w:tcPr>
          <w:p>
            <w:pPr>
              <w:pStyle w:val="TableContents"/>
              <w:bidi w:val="0"/>
              <w:spacing w:before="120" w:after="283"/>
              <w:jc w:val="left"/>
              <w:rPr>
                <w:color w:val="000000"/>
              </w:rPr>
            </w:pPr>
            <w:r>
              <w:rPr>
                <w:color w:val="000000"/>
              </w:rPr>
              <w:t></w:t>
            </w:r>
          </w:p>
        </w:tc>
        <w:tc>
          <w:tcPr>
            <w:tcW w:w="8416"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Fee paid previously with preliminary materials.</w:t>
            </w:r>
          </w:p>
        </w:tc>
      </w:tr>
      <w:tr>
        <w:trPr/>
        <w:tc>
          <w:tcPr>
            <w:tcW w:w="256" w:type="dxa"/>
            <w:tcBorders/>
            <w:tcMar>
              <w:top w:w="0" w:type="dxa"/>
              <w:left w:w="0" w:type="dxa"/>
              <w:bottom w:w="0" w:type="dxa"/>
              <w:right w:w="0" w:type="dxa"/>
            </w:tcMar>
            <w:vAlign w:val="center"/>
          </w:tcPr>
          <w:p>
            <w:pPr>
              <w:pStyle w:val="TableContents"/>
              <w:bidi w:val="0"/>
              <w:spacing w:before="120" w:after="283"/>
              <w:jc w:val="left"/>
              <w:rPr>
                <w:color w:val="000000"/>
              </w:rPr>
            </w:pPr>
            <w:r>
              <w:rPr>
                <w:color w:val="000000"/>
              </w:rPr>
              <w:t></w:t>
            </w:r>
          </w:p>
        </w:tc>
        <w:tc>
          <w:tcPr>
            <w:tcW w:w="8416" w:type="dxa"/>
            <w:tcBorders/>
            <w:tcMar>
              <w:top w:w="0" w:type="dxa"/>
              <w:left w:w="0" w:type="dxa"/>
              <w:bottom w:w="0" w:type="dxa"/>
              <w:right w:w="0" w:type="dxa"/>
            </w:tcMar>
            <w:vAlign w:val="center"/>
          </w:tcPr>
          <w:p>
            <w:pPr>
              <w:pStyle w:val="TableContents"/>
              <w:bidi w:val="0"/>
              <w:spacing w:before="120" w:after="283"/>
              <w:jc w:val="both"/>
              <w:rPr>
                <w:rFonts w:ascii="Times New Roman" w:hAnsi="Times New Roman"/>
                <w:color w:val="000000"/>
                <w:sz w:val="20"/>
              </w:rPr>
            </w:pPr>
            <w:r>
              <w:rPr>
                <w:rFonts w:ascii="Times New Roman" w:hAnsi="Times New Roman"/>
                <w:color w:val="000000"/>
                <w:sz w:val="20"/>
              </w:rPr>
              <w:t>Fee computed on table in exhibit required by Item 25(b) per Exchange Act Rules 14a-6(i)(1) and 0-11.</w:t>
            </w:r>
          </w:p>
        </w:tc>
      </w:tr>
    </w:tbl>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480" w:after="120"/>
        <w:jc w:val="center"/>
        <w:rPr/>
      </w:pPr>
      <w:r>
        <w:rPr/>
        <w:drawing>
          <wp:inline distT="0" distB="0" distL="0" distR="0">
            <wp:extent cx="1304925" cy="571500"/>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embed="rId2"/>
                    <a:stretch>
                      <a:fillRect/>
                    </a:stretch>
                  </pic:blipFill>
                  <pic:spPr bwMode="auto">
                    <a:xfrm>
                      <a:off x="0" y="0"/>
                      <a:ext cx="1304925" cy="571500"/>
                    </a:xfrm>
                    <a:prstGeom prst="rect">
                      <a:avLst/>
                    </a:prstGeom>
                  </pic:spPr>
                </pic:pic>
              </a:graphicData>
            </a:graphic>
          </wp:inline>
        </w:drawing>
      </w:r>
    </w:p>
    <w:p>
      <w:pPr>
        <w:pStyle w:val="TextBody"/>
        <w:bidi w:val="0"/>
        <w:jc w:val="center"/>
        <w:rPr>
          <w:rFonts w:ascii="Times New Roman" w:hAnsi="Times New Roman"/>
          <w:b/>
          <w:color w:val="231F20"/>
          <w:sz w:val="28"/>
        </w:rPr>
      </w:pPr>
      <w:r>
        <w:rPr>
          <w:rFonts w:ascii="Times New Roman" w:hAnsi="Times New Roman"/>
          <w:b/>
          <w:color w:val="231F20"/>
          <w:sz w:val="28"/>
        </w:rPr>
        <w:t>OFS CAPITAL CORPORATION</w:t>
      </w:r>
    </w:p>
    <w:p>
      <w:pPr>
        <w:pStyle w:val="TextBody"/>
        <w:bidi w:val="0"/>
        <w:spacing w:before="40" w:after="283"/>
        <w:jc w:val="center"/>
        <w:rPr>
          <w:rFonts w:ascii="Times New Roman" w:hAnsi="Times New Roman"/>
          <w:b/>
          <w:color w:val="231F20"/>
          <w:sz w:val="20"/>
        </w:rPr>
      </w:pPr>
      <w:r>
        <w:rPr>
          <w:rFonts w:ascii="Times New Roman" w:hAnsi="Times New Roman"/>
          <w:b/>
          <w:color w:val="231F20"/>
          <w:sz w:val="20"/>
        </w:rPr>
        <w:t>222 West Adams Street, Suite 1850</w:t>
      </w:r>
    </w:p>
    <w:p>
      <w:pPr>
        <w:pStyle w:val="TextBody"/>
        <w:bidi w:val="0"/>
        <w:jc w:val="center"/>
        <w:rPr>
          <w:rFonts w:ascii="Times New Roman" w:hAnsi="Times New Roman"/>
          <w:b/>
          <w:color w:val="231F20"/>
          <w:sz w:val="20"/>
        </w:rPr>
      </w:pPr>
      <w:r>
        <w:rPr>
          <w:rFonts w:ascii="Times New Roman" w:hAnsi="Times New Roman"/>
          <w:b/>
          <w:color w:val="231F20"/>
          <w:sz w:val="20"/>
        </w:rPr>
        <w:t>Chicago, Illinois 60606</w:t>
      </w:r>
    </w:p>
    <w:p>
      <w:pPr>
        <w:pStyle w:val="TextBody"/>
        <w:bidi w:val="0"/>
        <w:spacing w:before="0" w:after="240"/>
        <w:jc w:val="center"/>
        <w:rPr>
          <w:rFonts w:ascii="Times New Roman" w:hAnsi="Times New Roman"/>
          <w:b/>
          <w:color w:val="231F20"/>
          <w:sz w:val="20"/>
        </w:rPr>
      </w:pPr>
      <w:r>
        <w:rPr>
          <w:rFonts w:ascii="Times New Roman" w:hAnsi="Times New Roman"/>
          <w:b/>
          <w:color w:val="231F20"/>
          <w:sz w:val="20"/>
        </w:rPr>
        <w:t>(847) 734-2000</w:t>
      </w:r>
    </w:p>
    <w:p>
      <w:pPr>
        <w:pStyle w:val="TextBody"/>
        <w:bidi w:val="0"/>
        <w:jc w:val="left"/>
        <w:rPr>
          <w:rFonts w:ascii="Times New Roman" w:hAnsi="Times New Roman"/>
          <w:b/>
          <w:color w:val="000000"/>
          <w:sz w:val="20"/>
        </w:rPr>
      </w:pPr>
      <w:r>
        <w:rPr>
          <w:rFonts w:ascii="Times New Roman" w:hAnsi="Times New Roman"/>
          <w:b/>
          <w:color w:val="000000"/>
          <w:sz w:val="20"/>
        </w:rPr>
        <w:t>Shareholder Name</w:t>
      </w:r>
    </w:p>
    <w:p>
      <w:pPr>
        <w:pStyle w:val="TextBody"/>
        <w:bidi w:val="0"/>
        <w:jc w:val="left"/>
        <w:rPr>
          <w:rFonts w:ascii="Times New Roman" w:hAnsi="Times New Roman"/>
          <w:b/>
          <w:color w:val="000000"/>
          <w:sz w:val="20"/>
        </w:rPr>
      </w:pPr>
      <w:r>
        <w:rPr>
          <w:rFonts w:ascii="Times New Roman" w:hAnsi="Times New Roman"/>
          <w:b/>
          <w:color w:val="000000"/>
          <w:sz w:val="20"/>
        </w:rPr>
        <w:t>Address Line 1</w:t>
      </w:r>
    </w:p>
    <w:p>
      <w:pPr>
        <w:pStyle w:val="TextBody"/>
        <w:bidi w:val="0"/>
        <w:jc w:val="left"/>
        <w:rPr>
          <w:rFonts w:ascii="Times New Roman" w:hAnsi="Times New Roman"/>
          <w:b/>
          <w:color w:val="000000"/>
          <w:sz w:val="20"/>
        </w:rPr>
      </w:pPr>
      <w:r>
        <w:rPr>
          <w:rFonts w:ascii="Times New Roman" w:hAnsi="Times New Roman"/>
          <w:b/>
          <w:color w:val="000000"/>
          <w:sz w:val="20"/>
        </w:rPr>
        <w:t>Address Line 2</w:t>
      </w:r>
    </w:p>
    <w:p>
      <w:pPr>
        <w:pStyle w:val="TextBody"/>
        <w:bidi w:val="0"/>
        <w:jc w:val="left"/>
        <w:rPr>
          <w:rFonts w:ascii="Times New Roman" w:hAnsi="Times New Roman"/>
          <w:b/>
          <w:color w:val="000000"/>
          <w:sz w:val="20"/>
        </w:rPr>
      </w:pPr>
      <w:r>
        <w:rPr>
          <w:rFonts w:ascii="Times New Roman" w:hAnsi="Times New Roman"/>
          <w:b/>
          <w:color w:val="000000"/>
          <w:sz w:val="20"/>
        </w:rPr>
        <w:t>Address Line 3</w:t>
      </w:r>
    </w:p>
    <w:p>
      <w:pPr>
        <w:pStyle w:val="TextBody"/>
        <w:bidi w:val="0"/>
        <w:spacing w:before="240" w:after="240"/>
        <w:jc w:val="center"/>
        <w:rPr>
          <w:rFonts w:ascii="Times New Roman" w:hAnsi="Times New Roman"/>
          <w:b/>
          <w:color w:val="000000"/>
          <w:sz w:val="20"/>
        </w:rPr>
      </w:pPr>
      <w:r>
        <w:rPr>
          <w:rFonts w:ascii="Times New Roman" w:hAnsi="Times New Roman"/>
          <w:b/>
          <w:color w:val="000000"/>
          <w:sz w:val="20"/>
        </w:rPr>
        <w:t>EXTREMELY IMPORTANT</w:t>
      </w:r>
    </w:p>
    <w:p>
      <w:pPr>
        <w:pStyle w:val="TextBody"/>
        <w:bidi w:val="0"/>
        <w:spacing w:before="0" w:after="240"/>
        <w:jc w:val="left"/>
        <w:rPr>
          <w:rFonts w:ascii="Times New Roman" w:hAnsi="Times New Roman"/>
          <w:sz w:val="20"/>
        </w:rPr>
      </w:pPr>
      <w:r>
        <w:rPr>
          <w:rFonts w:ascii="Times New Roman" w:hAnsi="Times New Roman"/>
          <w:i/>
          <w:color w:val="000000"/>
          <w:sz w:val="20"/>
        </w:rPr>
        <w:t>Commencing on July 30, 2026, OFS Capital Corporation made the following communications to certain of its stockholders.</w:t>
      </w:r>
      <w:r>
        <w:rPr>
          <w:rFonts w:ascii="Times New Roman" w:hAnsi="Times New Roman"/>
          <w:color w:val="000000"/>
          <w:sz w:val="20"/>
        </w:rPr>
        <w:t xml:space="preserve"> </w:t>
      </w:r>
    </w:p>
    <w:p>
      <w:pPr>
        <w:pStyle w:val="TextBody"/>
        <w:bidi w:val="0"/>
        <w:spacing w:before="0" w:after="240"/>
        <w:jc w:val="left"/>
        <w:rPr>
          <w:rFonts w:ascii="Times New Roman" w:hAnsi="Times New Roman"/>
          <w:sz w:val="20"/>
        </w:rPr>
      </w:pPr>
      <w:r>
        <w:rPr>
          <w:rFonts w:ascii="Times New Roman" w:hAnsi="Times New Roman"/>
          <w:b/>
          <w:color w:val="000000"/>
          <w:sz w:val="20"/>
        </w:rPr>
        <w:t xml:space="preserve">Re: </w:t>
      </w:r>
      <w:r>
        <w:rPr>
          <w:rFonts w:ascii="Times New Roman" w:hAnsi="Times New Roman"/>
          <w:b/>
          <w:color w:val="000000"/>
          <w:sz w:val="20"/>
          <w:u w:val="single"/>
        </w:rPr>
        <w:t>OFS Capital Corporation</w:t>
      </w:r>
    </w:p>
    <w:p>
      <w:pPr>
        <w:pStyle w:val="TextBody"/>
        <w:bidi w:val="0"/>
        <w:spacing w:before="0" w:after="240"/>
        <w:jc w:val="left"/>
        <w:rPr>
          <w:rFonts w:ascii="Times New Roman" w:hAnsi="Times New Roman"/>
          <w:color w:val="000000"/>
          <w:sz w:val="20"/>
        </w:rPr>
      </w:pPr>
      <w:r>
        <w:rPr>
          <w:rFonts w:ascii="Times New Roman" w:hAnsi="Times New Roman"/>
          <w:color w:val="000000"/>
          <w:sz w:val="20"/>
        </w:rPr>
        <w:t>Dear Stockholder:</w:t>
      </w:r>
    </w:p>
    <w:p>
      <w:pPr>
        <w:pStyle w:val="TextBody"/>
        <w:bidi w:val="0"/>
        <w:spacing w:before="0" w:after="240"/>
        <w:jc w:val="both"/>
        <w:rPr>
          <w:rFonts w:ascii="Times New Roman" w:hAnsi="Times New Roman"/>
          <w:color w:val="000000"/>
          <w:sz w:val="20"/>
        </w:rPr>
      </w:pPr>
      <w:r>
        <w:rPr>
          <w:rFonts w:ascii="Times New Roman" w:hAnsi="Times New Roman"/>
          <w:color w:val="000000"/>
          <w:sz w:val="20"/>
        </w:rPr>
        <w:t>We have been trying to get in touch with you regarding a very important matter pertaining to the shares you hold in OFS Capital Corporation (the “Company”). This matter relates to an important proposal which requires your response and for which the Company adjourned its Special Meeting of Stockholders until August 12, 2026 at 10:00 a.m., local time to allow stockholders additional time to exercise their voting rights by submitting their voting instructions.</w:t>
      </w:r>
    </w:p>
    <w:p>
      <w:pPr>
        <w:pStyle w:val="TextBody"/>
        <w:bidi w:val="0"/>
        <w:spacing w:before="0" w:after="240"/>
        <w:jc w:val="both"/>
        <w:rPr>
          <w:rFonts w:ascii="Times New Roman" w:hAnsi="Times New Roman"/>
          <w:color w:val="000000"/>
          <w:sz w:val="20"/>
        </w:rPr>
      </w:pPr>
      <w:r>
        <w:rPr>
          <w:rFonts w:ascii="Times New Roman" w:hAnsi="Times New Roman"/>
          <w:color w:val="000000"/>
          <w:sz w:val="20"/>
        </w:rPr>
        <w:t>It is very important that we speak to you regarding this matter. The call will only take a few moments of your time and there is no confidential information required.</w:t>
      </w:r>
    </w:p>
    <w:p>
      <w:pPr>
        <w:pStyle w:val="TextBody"/>
        <w:bidi w:val="0"/>
        <w:spacing w:before="0" w:after="240"/>
        <w:jc w:val="both"/>
        <w:rPr>
          <w:rFonts w:ascii="Times New Roman" w:hAnsi="Times New Roman"/>
          <w:color w:val="000000"/>
          <w:sz w:val="20"/>
        </w:rPr>
      </w:pPr>
      <w:r>
        <w:rPr>
          <w:rFonts w:ascii="Times New Roman" w:hAnsi="Times New Roman"/>
          <w:color w:val="000000"/>
          <w:sz w:val="20"/>
        </w:rPr>
        <w:t>Please contact D.F. King toll-free at (800) 967-4607 between 9:00 a.m. and 10:00 p.m. Eastern time Monday through Friday and between 10:00 a.m. and 6:00 p.m. Eastern time on Saturdays. At the time of the call, please reference the number listed below.</w:t>
      </w:r>
    </w:p>
    <w:p>
      <w:pPr>
        <w:pStyle w:val="TextBody"/>
        <w:bidi w:val="0"/>
        <w:spacing w:before="0" w:after="240"/>
        <w:jc w:val="both"/>
        <w:rPr>
          <w:rFonts w:ascii="Times New Roman" w:hAnsi="Times New Roman"/>
          <w:color w:val="000000"/>
          <w:sz w:val="20"/>
        </w:rPr>
      </w:pPr>
      <w:r>
        <w:rPr>
          <w:rFonts w:ascii="Times New Roman" w:hAnsi="Times New Roman"/>
          <w:color w:val="000000"/>
          <w:sz w:val="20"/>
        </w:rPr>
        <w:t>Thank you.</w:t>
      </w:r>
    </w:p>
    <w:p>
      <w:pPr>
        <w:pStyle w:val="TextBody"/>
        <w:bidi w:val="0"/>
        <w:jc w:val="left"/>
        <w:rPr>
          <w:rFonts w:ascii="Times New Roman" w:hAnsi="Times New Roman"/>
          <w:color w:val="231F20"/>
          <w:sz w:val="20"/>
        </w:rPr>
      </w:pPr>
      <w:r>
        <w:rPr>
          <w:rFonts w:ascii="Times New Roman" w:hAnsi="Times New Roman"/>
          <w:color w:val="231F20"/>
          <w:sz w:val="20"/>
        </w:rPr>
        <w:t>Sincerely yours,</w:t>
      </w:r>
    </w:p>
    <w:p>
      <w:pPr>
        <w:pStyle w:val="TextBody"/>
        <w:bidi w:val="0"/>
        <w:spacing w:before="180" w:after="283"/>
        <w:jc w:val="left"/>
        <w:rPr/>
      </w:pPr>
      <w:r>
        <w:rPr/>
        <w:drawing>
          <wp:inline distT="0" distB="0" distL="0" distR="0">
            <wp:extent cx="1485900" cy="323850"/>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embed="rId3"/>
                    <a:stretch>
                      <a:fillRect/>
                    </a:stretch>
                  </pic:blipFill>
                  <pic:spPr bwMode="auto">
                    <a:xfrm>
                      <a:off x="0" y="0"/>
                      <a:ext cx="1485900" cy="323850"/>
                    </a:xfrm>
                    <a:prstGeom prst="rect">
                      <a:avLst/>
                    </a:prstGeom>
                  </pic:spPr>
                </pic:pic>
              </a:graphicData>
            </a:graphic>
          </wp:inline>
        </w:drawing>
      </w:r>
    </w:p>
    <w:p>
      <w:pPr>
        <w:pStyle w:val="TextBody"/>
        <w:bidi w:val="0"/>
        <w:spacing w:before="180" w:after="40"/>
        <w:jc w:val="left"/>
        <w:rPr>
          <w:rFonts w:ascii="Times New Roman" w:hAnsi="Times New Roman"/>
          <w:color w:val="231F20"/>
          <w:sz w:val="20"/>
        </w:rPr>
      </w:pPr>
      <w:r>
        <w:rPr>
          <w:rFonts w:ascii="Times New Roman" w:hAnsi="Times New Roman"/>
          <w:color w:val="231F20"/>
          <w:sz w:val="20"/>
        </w:rPr>
        <w:t>Bilal Rashid</w:t>
      </w:r>
    </w:p>
    <w:p>
      <w:pPr>
        <w:pStyle w:val="TextBody"/>
        <w:bidi w:val="0"/>
        <w:spacing w:before="0" w:after="360"/>
        <w:jc w:val="left"/>
        <w:rPr>
          <w:rFonts w:ascii="Times New Roman" w:hAnsi="Times New Roman"/>
          <w:i/>
          <w:color w:val="231F20"/>
          <w:sz w:val="20"/>
        </w:rPr>
      </w:pPr>
      <w:r>
        <w:rPr>
          <w:rFonts w:ascii="Times New Roman" w:hAnsi="Times New Roman"/>
          <w:i/>
          <w:color w:val="231F20"/>
          <w:sz w:val="20"/>
        </w:rPr>
        <w:t>Chairman of the Board of Directors and Chief Executive Officer</w:t>
      </w:r>
    </w:p>
    <w:p>
      <w:pPr>
        <w:pStyle w:val="TextBody"/>
        <w:bidi w:val="0"/>
        <w:spacing w:before="120" w:after="120"/>
        <w:jc w:val="center"/>
        <w:rPr/>
      </w:pPr>
      <w:r>
        <w:rPr/>
        <w:t> </w:t>
      </w:r>
    </w:p>
    <w:p>
      <w:pPr>
        <w:pStyle w:val="TextBody"/>
        <w:bidi w:val="0"/>
        <w:jc w:val="left"/>
        <w:rPr/>
      </w:pPr>
      <w:r>
        <w:rPr/>
        <w:t> </w:t>
      </w:r>
    </w:p>
    <w:p>
      <w:pPr>
        <w:pStyle w:val="HorizontalLine"/>
        <w:pBdr>
          <w:bottom w:val="double" w:sz="2" w:space="0" w:color="808080"/>
        </w:pBdr>
        <w:bidi w:val="0"/>
        <w:spacing w:before="0" w:after="283"/>
        <w:jc w:val="left"/>
        <w:rPr/>
      </w:pPr>
      <w:r>
        <w:rPr/>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Times New Roman">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media/image1.gif"/><Relationship Id="rId3" Type="http://schemas.openxmlformats.org/officeDocument/2006/relationships/image" Target="media/image2.jpeg"/><Relationship Id="rId4" Type="http://schemas.openxmlformats.org/officeDocument/2006/relationships/fontTable" Target="fontTable.xml"/><Relationship Id="rId5"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3</Pages>
  <Words>356</Words>
  <Characters>1924</Characters>
  <CharactersWithSpaces>2240</CharactersWithSpaces>
  <Paragraphs>57</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