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ofs-20260811.htm"/>
      <w:bookmarkStart w:id="1" w:name="ksofs20260811"/>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OFS Capital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814-00813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46-1339639</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222 W. Adams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1850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Chicago,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60606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847</w:t>
            </w:r>
            <w:r>
              <w:rPr>
                <w:rFonts w:ascii="Times New Roman" w:hAnsi="Times New Roman"/>
                <w:color w:val="000000"/>
                <w:sz w:val="20"/>
              </w:rPr>
              <w:t xml:space="preserve"> </w:t>
            </w:r>
            <w:r>
              <w:rPr>
                <w:rFonts w:ascii="Times New Roman" w:hAnsi="Times New Roman"/>
                <w:b/>
                <w:color w:val="000000"/>
                <w:sz w:val="20"/>
              </w:rPr>
              <w:t>734-2000</w:t>
            </w:r>
          </w:p>
        </w:tc>
      </w:tr>
    </w:tbl>
    <w:p>
      <w:pPr>
        <w:pStyle w:val="TextBody"/>
        <w:bidi w:val="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br/>
            </w:r>
            <w:r>
              <w:rPr>
                <w:rFonts w:ascii="Times New Roman" w:hAnsi="Times New Roman"/>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4.95% Notes due 2028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OFSSH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7.50% Notes due 2028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OFSSO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April 2, 2026, OFS Capital Corporation, a Delaware corporation (the “Company”), called a special meeting of stockholders (the “2026 Special Meeting of Stockholders”), which was initially scheduled for June 10, 2026, to consider and act upon a proposal to authorize the Company, with approval of its Board of Directors (the “Board”), to sell or otherwise issue shares of its common stock (during the next 12 months) at a price below the Company’s then-current net asset value per share in one or more offerings, subject to certain limitations set forth in the Company’s proxy statement for the 2026 Special Meeting of Stockholders.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2026 Special Meeting of Stockholders was called to order on June 10, 2026, but due to lack of quorum, no business was conducted. After adjournments on each of June 10, 2026, July 1, 2026, and July 22, 2026, the Company has not been able to obtain a quorum to conduct business at the 2026 Special Meeting of Stockholders. The 2026 Special Meeting of Stockholders was scheduled to reconvene on August 12, 2026.</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August 11, 2026, the Board approved the adjournment of the 2026 Special Meeting of Stockholders, including the August 12, 2026 reconvening thereof, without setting a date, time, or place for any further reconvening. No vote was taken on the proposal described above, no business was conducted in connection with the 2026 Special Meeting of Stockholders, and the Company ceased further solicitation of proxies in connection therewith.</w:t>
      </w:r>
    </w:p>
    <w:p>
      <w:pPr>
        <w:pStyle w:val="TextBody"/>
        <w:bidi w:val="0"/>
        <w:spacing w:before="0" w:after="200"/>
        <w:jc w:val="both"/>
        <w:rPr/>
      </w:pPr>
      <w:r>
        <w:rPr/>
        <w:t> </w:t>
      </w:r>
    </w:p>
    <w:p>
      <w:pPr>
        <w:pStyle w:val="TextBody"/>
        <w:bidi w:val="0"/>
        <w:spacing w:before="0" w:after="360"/>
        <w:jc w:val="center"/>
        <w:rPr>
          <w:rFonts w:ascii="Times New Roman" w:hAnsi="Times New Roman"/>
          <w:color w:val="000000"/>
          <w:sz w:val="20"/>
        </w:rPr>
      </w:pPr>
      <w:r>
        <w:rPr>
          <w:rFonts w:ascii="Times New Roman" w:hAnsi="Times New Roman"/>
          <w:color w:val="000000"/>
          <w:sz w:val="20"/>
        </w:rPr>
        <w:t>* * *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36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tbl>
      <w:tblPr>
        <w:tblW w:w="4891" w:type="dxa"/>
        <w:jc w:val="left"/>
        <w:tblInd w:w="0" w:type="dxa"/>
        <w:tblLayout w:type="fixed"/>
        <w:tblCellMar>
          <w:top w:w="28" w:type="dxa"/>
          <w:left w:w="28" w:type="dxa"/>
          <w:bottom w:w="28" w:type="dxa"/>
          <w:right w:w="28" w:type="dxa"/>
        </w:tblCellMar>
      </w:tblPr>
      <w:tblGrid>
        <w:gridCol w:w="1951"/>
        <w:gridCol w:w="657"/>
        <w:gridCol w:w="2283"/>
      </w:tblGrid>
      <w:tr>
        <w:trPr/>
        <w:tc>
          <w:tcPr>
            <w:tcW w:w="195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9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OFS CAPITAL CORPORATION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tcMar>
              <w:top w:w="0" w:type="dxa"/>
              <w:left w:w="0" w:type="dxa"/>
              <w:bottom w:w="0" w:type="dxa"/>
              <w:right w:w="0" w:type="dxa"/>
            </w:tcMar>
            <w:vAlign w:val="center"/>
          </w:tcPr>
          <w:p>
            <w:pPr>
              <w:pStyle w:val="TableContents"/>
              <w:bidi w:val="0"/>
              <w:spacing w:before="0" w:after="283"/>
              <w:jc w:val="left"/>
              <w:rPr/>
            </w:pPr>
            <w:r>
              <w:rPr/>
              <w:t> </w:t>
            </w:r>
          </w:p>
        </w:tc>
        <w:tc>
          <w:tcPr>
            <w:tcW w:w="2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6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28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Bilal Rashid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9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Bilal Rashid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9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3302</Characters>
  <CharactersWithSpaces>3907</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