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fs-20260728.htm"/>
      <w:bookmarkStart w:id="1" w:name="ksofs20260728"/>
      <w:bookmarkEnd w:id="0"/>
      <w:bookmarkEnd w:id="1"/>
      <w:r>
        <w:rPr/>
        <w:t> </w:t>
      </w:r>
    </w:p>
    <w:p>
      <w:pPr>
        <w:pStyle w:val="TextBody"/>
        <w:bidi w:val="0"/>
        <w:spacing w:before="115" w:after="24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OFS Capital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814-00813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46-1339639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222 W. Adams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734-2000</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July 30, 2026, OFS Capital Corporation (the “Company”) issued a press release announcing its financial results for the quarter ended June 30, 2026. On July 28, 2026, the Company’s board of directors declared a 2026 third quarter distribution of $0.17 per common share, payable October 5, 2026 to stockholders of record as of September 18, 2026. The full text of the press release issued in connection with the announcement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is being furnished and shall not be deemed “filed” for purposes of Section 18 of the Securities Exchange Act of 1934, as amended (the “Exchange Act”), or otherwise subject to the liabilities of that section, nor shall it be deemed incorporated by reference into any filing made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(a) Not applicable.</w:t>
      </w:r>
    </w:p>
    <w:p>
      <w:pPr>
        <w:pStyle w:val="TextBody"/>
        <w:bidi w:val="0"/>
        <w:jc w:val="left"/>
        <w:rPr>
          <w:rFonts w:ascii="Times New Roman" w:hAnsi="Times New Roman"/>
          <w:color w:val="000000"/>
          <w:sz w:val="20"/>
        </w:rPr>
      </w:pPr>
      <w:r>
        <w:rPr>
          <w:rFonts w:ascii="Times New Roman" w:hAnsi="Times New Roman"/>
          <w:color w:val="000000"/>
          <w:sz w:val="20"/>
        </w:rPr>
        <w:t>(b) Not applicable.</w:t>
      </w:r>
    </w:p>
    <w:p>
      <w:pPr>
        <w:pStyle w:val="TextBody"/>
        <w:bidi w:val="0"/>
        <w:jc w:val="left"/>
        <w:rPr>
          <w:rFonts w:ascii="Times New Roman" w:hAnsi="Times New Roman"/>
          <w:color w:val="000000"/>
          <w:sz w:val="20"/>
        </w:rPr>
      </w:pPr>
      <w:r>
        <w:rPr>
          <w:rFonts w:ascii="Times New Roman" w:hAnsi="Times New Roman"/>
          <w:color w:val="000000"/>
          <w:sz w:val="20"/>
        </w:rPr>
        <w:t>(c) Not applicable.</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6793" w:type="dxa"/>
        <w:jc w:val="left"/>
        <w:tblInd w:w="0" w:type="dxa"/>
        <w:tblLayout w:type="fixed"/>
        <w:tblCellMar>
          <w:top w:w="28" w:type="dxa"/>
          <w:left w:w="28" w:type="dxa"/>
          <w:bottom w:w="28" w:type="dxa"/>
          <w:right w:w="28" w:type="dxa"/>
        </w:tblCellMar>
      </w:tblPr>
      <w:tblGrid>
        <w:gridCol w:w="1081"/>
        <w:gridCol w:w="146"/>
        <w:gridCol w:w="556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0"/>
                  <w:u w:val="single"/>
                </w:rPr>
                <w:t>Press Release issued by OFS Capital Corporation on July 30, 2026</w:t>
              </w:r>
            </w:hyperlink>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4399" w:type="dxa"/>
        <w:jc w:val="left"/>
        <w:tblInd w:w="0" w:type="dxa"/>
        <w:tblLayout w:type="fixed"/>
        <w:tblCellMar>
          <w:top w:w="28" w:type="dxa"/>
          <w:left w:w="28" w:type="dxa"/>
          <w:bottom w:w="28" w:type="dxa"/>
          <w:right w:w="28" w:type="dxa"/>
        </w:tblCellMar>
      </w:tblPr>
      <w:tblGrid>
        <w:gridCol w:w="556"/>
        <w:gridCol w:w="1216"/>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OFS Capital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Bilal Rashid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ofs-ex99_1.htm"/>
      <w:bookmarkStart w:id="3" w:name="ksofs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6096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 cy="238125"/>
                    </a:xfrm>
                    <a:prstGeom prst="rect">
                      <a:avLst/>
                    </a:prstGeom>
                  </pic:spPr>
                </pic:pic>
              </a:graphicData>
            </a:graphic>
          </wp:inline>
        </w:drawing>
      </w:r>
    </w:p>
    <w:p>
      <w:pPr>
        <w:pStyle w:val="TextBody"/>
        <w:bidi w:val="0"/>
        <w:spacing w:before="0" w:after="60"/>
        <w:jc w:val="center"/>
        <w:rPr>
          <w:rFonts w:ascii="Times New Roman" w:hAnsi="Times New Roman"/>
          <w:sz w:val="20"/>
        </w:rPr>
      </w:pPr>
      <w:bookmarkStart w:id="4" w:name="section1"/>
      <w:bookmarkEnd w:id="4"/>
      <w:r>
        <w:rPr>
          <w:rFonts w:ascii="Times New Roman" w:hAnsi="Times New Roman"/>
          <w:b/>
          <w:color w:val="000000"/>
          <w:sz w:val="20"/>
        </w:rPr>
        <w:t>OFS CAPITAL CORPORATION ANNOUNCES SECOND QUARTER 2026 FINANCIAL RESULTS</w:t>
      </w:r>
      <w:r>
        <w:rPr>
          <w:rFonts w:ascii="Times New Roman" w:hAnsi="Times New Roman"/>
          <w:color w:val="000000"/>
          <w:sz w:val="20"/>
        </w:rPr>
        <w:t xml:space="preserve"> </w:t>
      </w:r>
    </w:p>
    <w:p>
      <w:pPr>
        <w:pStyle w:val="TextBody"/>
        <w:bidi w:val="0"/>
        <w:spacing w:before="0" w:after="180"/>
        <w:jc w:val="center"/>
        <w:rPr>
          <w:rFonts w:ascii="Times New Roman" w:hAnsi="Times New Roman"/>
          <w:b/>
          <w:color w:val="000000"/>
          <w:sz w:val="19"/>
        </w:rPr>
      </w:pPr>
      <w:r>
        <w:rPr>
          <w:rFonts w:ascii="Times New Roman" w:hAnsi="Times New Roman"/>
          <w:b/>
          <w:color w:val="000000"/>
          <w:sz w:val="19"/>
        </w:rPr>
        <w:t>DECLARES THIRD QUARTER DISTRIBUTION OF $0.17 PER SHARE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Chicago, IL - July 30, 2026 - OFS Capital Corporation (Nasdaq: OFS) (“OFS Capital,” the “Company,” “we,” “us,” or “our”) today announced its financial results for the fiscal quarter ended June 30, 2026.</w:t>
      </w:r>
    </w:p>
    <w:p>
      <w:pPr>
        <w:pStyle w:val="TextBody"/>
        <w:bidi w:val="0"/>
        <w:spacing w:before="0" w:after="20"/>
        <w:jc w:val="left"/>
        <w:rPr>
          <w:rFonts w:ascii="Times New Roman" w:hAnsi="Times New Roman"/>
          <w:b/>
          <w:color w:val="000000"/>
          <w:sz w:val="20"/>
        </w:rPr>
      </w:pPr>
      <w:r>
        <w:rPr>
          <w:rFonts w:ascii="Times New Roman" w:hAnsi="Times New Roman"/>
          <w:b/>
          <w:color w:val="000000"/>
          <w:sz w:val="20"/>
        </w:rPr>
        <w:t>SECOND QUARTER FINANCIAL HIGHLIGHTS</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 xml:space="preserve">Net investment income decreased from $0.18 per common share for the quarter ended March 31, 2026 to $0.08 per common share for the quarter ended June 30, 2026, primarily due to a decrease in total investment income of $2.1 million. </w:t>
      </w:r>
      <w:r>
        <w:rPr>
          <w:rFonts w:ascii="Times New Roman" w:hAnsi="Times New Roman"/>
          <w:i/>
          <w:color w:val="000000"/>
          <w:sz w:val="20"/>
        </w:rPr>
        <w:t>See</w:t>
      </w:r>
      <w:r>
        <w:rPr>
          <w:color w:val="000000"/>
        </w:rPr>
        <w:t xml:space="preserve"> </w:t>
      </w:r>
      <w:r>
        <w:rPr>
          <w:rFonts w:ascii="Times New Roman" w:hAnsi="Times New Roman"/>
          <w:color w:val="000000"/>
          <w:sz w:val="20"/>
        </w:rPr>
        <w:t>additional information under “Results of Operations” below.</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 xml:space="preserve">Net gain on investments was $0.34 per common share for the quarter ended June 30, 2026. </w:t>
      </w:r>
      <w:r>
        <w:rPr>
          <w:rFonts w:ascii="Times New Roman" w:hAnsi="Times New Roman"/>
          <w:i/>
          <w:color w:val="000000"/>
          <w:sz w:val="20"/>
        </w:rPr>
        <w:t>See</w:t>
      </w:r>
      <w:r>
        <w:rPr>
          <w:color w:val="000000"/>
        </w:rPr>
        <w:t xml:space="preserve"> </w:t>
      </w:r>
      <w:r>
        <w:rPr>
          <w:rFonts w:ascii="Times New Roman" w:hAnsi="Times New Roman"/>
          <w:color w:val="000000"/>
          <w:sz w:val="20"/>
        </w:rPr>
        <w:t>additional information under “Results of Operations” below.</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Net asset value per common share increased from $8.16 as of March 31, 2026 to $8.41 as of June 30, 2026 due to a net gain on investments of $0.34 per common share, partially offset by the quarterly distribution of $0.17 per common share exceeding our quarterly net investment income of $0.08 per common share.</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As of June 30, 2026, based on fair value, 93% of our loan portfolio consisted of floating rate loans and 100% of our loan portfolio consisted of first lien and second lien loans.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The investment portfolio’s weighted-average performing income yield decreased from 12.5% during the prior quarter to 12.1% for the quarter ended June 30, 2026, primarily due to a decrease in earned yields on our debt investments and structured finance securities.</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 xml:space="preserve">During the quarter ended June 30, 2026, we placed on non-accrual status loans to one portfolio company. </w:t>
      </w:r>
      <w:r>
        <w:rPr>
          <w:rFonts w:ascii="Times New Roman" w:hAnsi="Times New Roman"/>
          <w:i/>
          <w:color w:val="000000"/>
          <w:sz w:val="20"/>
        </w:rPr>
        <w:t>See</w:t>
      </w:r>
      <w:r>
        <w:rPr>
          <w:color w:val="000000"/>
        </w:rPr>
        <w:t xml:space="preserve"> </w:t>
      </w:r>
      <w:r>
        <w:rPr>
          <w:rFonts w:ascii="Times New Roman" w:hAnsi="Times New Roman"/>
          <w:color w:val="000000"/>
          <w:sz w:val="20"/>
        </w:rPr>
        <w:t>additional information under “Portfolio and Investment Activities” below.</w:t>
      </w:r>
    </w:p>
    <w:p>
      <w:pPr>
        <w:pStyle w:val="TextBody"/>
        <w:bidi w:val="0"/>
        <w:spacing w:before="0" w:after="60"/>
        <w:jc w:val="left"/>
        <w:rPr>
          <w:rFonts w:ascii="Times New Roman" w:hAnsi="Times New Roman"/>
          <w:b/>
          <w:color w:val="000000"/>
          <w:sz w:val="20"/>
        </w:rPr>
      </w:pPr>
      <w:r>
        <w:rPr>
          <w:rFonts w:ascii="Times New Roman" w:hAnsi="Times New Roman"/>
          <w:b/>
          <w:color w:val="000000"/>
          <w:sz w:val="20"/>
        </w:rPr>
        <w:t>OTHER RECENT EVENTS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 July 28, 2026, our Board of Directors declared a distribution of $0.17 per common share for the third quarter of 2026, payable on October 5, 2026 to stockholders of record as of September 18, 2026.</w:t>
      </w:r>
    </w:p>
    <w:tbl>
      <w:tblPr>
        <w:tblW w:w="9250" w:type="dxa"/>
        <w:jc w:val="left"/>
        <w:tblInd w:w="0" w:type="dxa"/>
        <w:tblLayout w:type="fixed"/>
        <w:tblCellMar>
          <w:top w:w="28" w:type="dxa"/>
          <w:left w:w="28" w:type="dxa"/>
          <w:bottom w:w="28" w:type="dxa"/>
          <w:right w:w="28" w:type="dxa"/>
        </w:tblCellMar>
      </w:tblPr>
      <w:tblGrid>
        <w:gridCol w:w="5851"/>
        <w:gridCol w:w="146"/>
        <w:gridCol w:w="364"/>
        <w:gridCol w:w="911"/>
        <w:gridCol w:w="174"/>
        <w:gridCol w:w="153"/>
        <w:gridCol w:w="411"/>
        <w:gridCol w:w="1029"/>
        <w:gridCol w:w="2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FINANCIAL HIGHLIGHTS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Realized/Unrealized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loss on investments, net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appreciation (depreciation)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10" w:type="dxa"/>
        <w:jc w:val="left"/>
        <w:tblInd w:w="0" w:type="dxa"/>
        <w:tblLayout w:type="fixed"/>
        <w:tblCellMar>
          <w:top w:w="28" w:type="dxa"/>
          <w:left w:w="28" w:type="dxa"/>
          <w:bottom w:w="28" w:type="dxa"/>
          <w:right w:w="28" w:type="dxa"/>
        </w:tblCellMar>
      </w:tblPr>
      <w:tblGrid>
        <w:gridCol w:w="2866"/>
        <w:gridCol w:w="146"/>
        <w:gridCol w:w="344"/>
        <w:gridCol w:w="931"/>
        <w:gridCol w:w="146"/>
        <w:gridCol w:w="146"/>
        <w:gridCol w:w="388"/>
        <w:gridCol w:w="1052"/>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Highlights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debt - principal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PORTFOLIO AND INVESTMENT ACTIVITIES</w:t>
      </w:r>
    </w:p>
    <w:p>
      <w:pPr>
        <w:pStyle w:val="TextBody"/>
        <w:bidi w:val="0"/>
        <w:jc w:val="both"/>
        <w:rPr>
          <w:rFonts w:ascii="Times New Roman" w:hAnsi="Times New Roman"/>
          <w:color w:val="000000"/>
          <w:sz w:val="20"/>
        </w:rPr>
      </w:pPr>
      <w:r>
        <w:rPr>
          <w:rFonts w:ascii="Times New Roman" w:hAnsi="Times New Roman"/>
          <w:color w:val="000000"/>
          <w:sz w:val="20"/>
        </w:rPr>
        <w:t>($ in millions)</w:t>
      </w:r>
    </w:p>
    <w:tbl>
      <w:tblPr>
        <w:tblW w:w="9865" w:type="dxa"/>
        <w:jc w:val="left"/>
        <w:tblInd w:w="0" w:type="dxa"/>
        <w:tblLayout w:type="fixed"/>
        <w:tblCellMar>
          <w:top w:w="28" w:type="dxa"/>
          <w:left w:w="28" w:type="dxa"/>
          <w:bottom w:w="28" w:type="dxa"/>
          <w:right w:w="28" w:type="dxa"/>
        </w:tblCellMar>
      </w:tblPr>
      <w:tblGrid>
        <w:gridCol w:w="6271"/>
        <w:gridCol w:w="146"/>
        <w:gridCol w:w="344"/>
        <w:gridCol w:w="931"/>
        <w:gridCol w:w="271"/>
        <w:gridCol w:w="146"/>
        <w:gridCol w:w="388"/>
        <w:gridCol w:w="1052"/>
        <w:gridCol w:w="316"/>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Portfolio Yields</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performing interest-bearing investments, at cost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performing income yield - interest-bearing investments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realized yield - interest-bearing investments</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60"/>
        <w:jc w:val="left"/>
        <w:rPr>
          <w:rFonts w:ascii="Times New Roman" w:hAnsi="Times New Roman"/>
          <w:color w:val="000000"/>
          <w:sz w:val="16"/>
        </w:rPr>
      </w:pPr>
      <w:r>
        <w:rPr>
          <w:rFonts w:ascii="Times New Roman" w:hAnsi="Times New Roman"/>
          <w:color w:val="000000"/>
          <w:sz w:val="16"/>
        </w:rPr>
        <w:t>(1) The weighted-average yield of our investments is not the same as a return on investment for our stockholders, but rather relates to our investment portfolio and is calculated before the payment of all of our fees and expenses.</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(2) Performing income yield is calculated as (a) the actual amount earned on performing interest-bearing investments, including interest, prepayment fees and amortization of net loan fees, divided by (b) the weighted-average of total performing interest-bearing investments at amortized cost.</w:t>
      </w:r>
    </w:p>
    <w:p>
      <w:pPr>
        <w:pStyle w:val="TextBody"/>
        <w:bidi w:val="0"/>
        <w:spacing w:before="0" w:after="60"/>
        <w:jc w:val="left"/>
        <w:rPr>
          <w:rFonts w:ascii="Times New Roman" w:hAnsi="Times New Roman"/>
          <w:color w:val="000000"/>
          <w:sz w:val="16"/>
        </w:rPr>
      </w:pPr>
      <w:r>
        <w:rPr>
          <w:rFonts w:ascii="Times New Roman" w:hAnsi="Times New Roman"/>
          <w:color w:val="000000"/>
          <w:sz w:val="16"/>
        </w:rPr>
        <w:t>(3) Realized yield is calculated as (a) the actual amount earned on interest-bearing investments, including interest, prepayment fees and amortization of net loan fees, divided by (b) the weighted-average of total interest-bearing investments at amortized cost, in each case, including debt investments on non-accrual status and non-performing structured finance securities.</w:t>
      </w:r>
    </w:p>
    <w:tbl>
      <w:tblPr>
        <w:tblW w:w="7153" w:type="dxa"/>
        <w:jc w:val="left"/>
        <w:tblInd w:w="0" w:type="dxa"/>
        <w:tblLayout w:type="fixed"/>
        <w:tblCellMar>
          <w:top w:w="28" w:type="dxa"/>
          <w:left w:w="28" w:type="dxa"/>
          <w:bottom w:w="28" w:type="dxa"/>
          <w:right w:w="28" w:type="dxa"/>
        </w:tblCellMar>
      </w:tblPr>
      <w:tblGrid>
        <w:gridCol w:w="3721"/>
        <w:gridCol w:w="146"/>
        <w:gridCol w:w="470"/>
        <w:gridCol w:w="805"/>
        <w:gridCol w:w="190"/>
        <w:gridCol w:w="190"/>
        <w:gridCol w:w="531"/>
        <w:gridCol w:w="909"/>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Portfolio Purchase Activity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and equity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purchases and originations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00"/>
        <w:jc w:val="left"/>
        <w:rPr>
          <w:rFonts w:ascii="Times New Roman" w:hAnsi="Times New Roman"/>
          <w:color w:val="000000"/>
          <w:sz w:val="20"/>
        </w:rPr>
      </w:pPr>
      <w:r>
        <w:rPr>
          <w:rFonts w:ascii="Times New Roman" w:hAnsi="Times New Roman"/>
          <w:color w:val="000000"/>
          <w:sz w:val="20"/>
        </w:rPr>
        <w:t>As of June 30, 2026, based on fair value, our investment portfolio was comprised of the following:</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Total investments of $297.8 million, which was equal to approximately 108% of amortized cost;</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Debt investments of $147.0 million, of which approximately 97% and 3% were first lien and second lien loans, respectively;</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Equity investments of $116.7 million; and</w:t>
      </w:r>
    </w:p>
    <w:p>
      <w:pPr>
        <w:pStyle w:val="TextBody"/>
        <w:bidi w:val="0"/>
        <w:spacing w:before="0" w:after="40"/>
        <w:jc w:val="left"/>
        <w:rPr>
          <w:color w:val="000000"/>
        </w:rPr>
      </w:pPr>
      <w:r>
        <w:rPr>
          <w:color w:val="000000"/>
        </w:rPr>
        <w:t>•</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Structured finance securities of $34.1 million.</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During the quarter ended June 30, 2026, loans to a portfolio company were placed on non-accrual status with an aggregate amortized cost and fair value of $12.5 million and $10.4 million, respectively, representing 3.5% of the total portfolio, at fair value. As of June 30, 2026, our loan portfolio had non-accrual loans with an aggregate fair value of $21.4 million, or 7.2% of our total investments at fair value.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OUTSTANDING DEBT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total outstanding debt decreased from $202.5 million at March 31, 2026 to $185.8 million at June 30, 2026, due to net paydowns on our revolving credit facilities.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100% of our outstanding debt matures in more than two years and 80% of our outstanding debt is unsecured. As of June 30, 2026, our regulatory asset coverage ratio was 161%, which exceeded the minimum asset coverage requirement of 150% under the Investment Company Act of 1940, as amended.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and March 31, 2026, the average dollar borrowings and weighted-average effective interest rate for our debt were as follows ($ in millions):</w:t>
      </w:r>
    </w:p>
    <w:tbl>
      <w:tblPr>
        <w:tblW w:w="8735" w:type="dxa"/>
        <w:jc w:val="left"/>
        <w:tblInd w:w="0" w:type="dxa"/>
        <w:tblLayout w:type="fixed"/>
        <w:tblCellMar>
          <w:top w:w="28" w:type="dxa"/>
          <w:left w:w="28" w:type="dxa"/>
          <w:bottom w:w="28" w:type="dxa"/>
          <w:right w:w="28" w:type="dxa"/>
        </w:tblCellMar>
      </w:tblPr>
      <w:tblGrid>
        <w:gridCol w:w="1891"/>
        <w:gridCol w:w="146"/>
        <w:gridCol w:w="666"/>
        <w:gridCol w:w="1809"/>
        <w:gridCol w:w="146"/>
        <w:gridCol w:w="146"/>
        <w:gridCol w:w="861"/>
        <w:gridCol w:w="2754"/>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Dollar 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Effective 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9380" w:type="dxa"/>
        <w:jc w:val="left"/>
        <w:tblInd w:w="0" w:type="dxa"/>
        <w:tblLayout w:type="fixed"/>
        <w:tblCellMar>
          <w:top w:w="28" w:type="dxa"/>
          <w:left w:w="28" w:type="dxa"/>
          <w:bottom w:w="28" w:type="dxa"/>
          <w:right w:w="28" w:type="dxa"/>
        </w:tblCellMar>
      </w:tblPr>
      <w:tblGrid>
        <w:gridCol w:w="6016"/>
        <w:gridCol w:w="146"/>
        <w:gridCol w:w="344"/>
        <w:gridCol w:w="931"/>
        <w:gridCol w:w="146"/>
        <w:gridCol w:w="146"/>
        <w:gridCol w:w="321"/>
        <w:gridCol w:w="1119"/>
        <w:gridCol w:w="21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and incentive fees,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administration and 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June 30, 2026, total investment income decreased to $6.8 million from $8.9 million in the prior quarter, primarily due to decreases in interest income of $1.2 million and non-recurring dividend income of $0.9 million.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June 30, 2026, total expenses, net of the base management fee waiver, decreased by $0.6 million to $5.8 million compared to the prior quarter, primarily due to decreases in incentive fees of $0.4 million and interest expense of $0.2 million.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Net Gain (Loss) on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quarter ended June 30, 2026, we recognized a net gain on investments of $4.6 million. The net gain on investments of $4.6 million was primarily attributable to unrealized appreciation of $14.1 million on our common equity investment in Pfanstiehl Holdings, Inc., partially offset by net realized and unrealized losses on our CLO equity structured finance securities of $6.5 million.</w:t>
      </w:r>
    </w:p>
    <w:p>
      <w:pPr>
        <w:pStyle w:val="TextBody"/>
        <w:bidi w:val="0"/>
        <w:spacing w:before="0" w:after="120"/>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had $4.0 million in cash and cash equivalents, which includes $2.9 million held by OFSCC-FS, LLC (“OFSCC-FS”), an indirect wholly owned subsidiary. Our use of cash held by OFSCC-FS is restricted by contractual conditions of our credit facility with Natixis, New York Branch, including limitations on the amount of cash OFSCC-FS can distribute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we had an unused commitment of $15.0 million under our senior secured revolving credit facility with Banc of California and an unused commitment of $43.2 million under our credit facility with Natixis, New York Branch, each of which is subject to the terms of the borrowing base and other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we had outstanding commitments to fund various undrawn revolvers and other credit facilities of portfolio companies totaling $6.0 million.</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OFS Capital will host a conference call to discuss these results on Friday, July 31, 2026, at 10:00 AM Eastern Time. Interested parties may participate in the call via the following: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INTERNET: Go to </w:t>
      </w:r>
      <w:r>
        <w:rPr>
          <w:rFonts w:ascii="Times New Roman" w:hAnsi="Times New Roman"/>
          <w:color w:val="000000"/>
          <w:sz w:val="20"/>
          <w:u w:val="single"/>
        </w:rPr>
        <w:t>www.ofscapital.com</w:t>
      </w:r>
      <w:r>
        <w:rPr>
          <w:rFonts w:ascii="Times New Roman" w:hAnsi="Times New Roman"/>
          <w:color w:val="000000"/>
          <w:sz w:val="20"/>
        </w:rPr>
        <w:t xml:space="preserve"> at least 15 minutes prior to the start time of the call to register, download, and install any necessary audio software. A replay will be available for 90 days on OFS Capital’s website at </w:t>
      </w:r>
      <w:r>
        <w:rPr>
          <w:rFonts w:ascii="Times New Roman" w:hAnsi="Times New Roman"/>
          <w:color w:val="000000"/>
          <w:sz w:val="20"/>
          <w:u w:val="single"/>
        </w:rPr>
        <w:t>www.ofscapital.com</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TELEPHONE: Dial (833) 816-1364 (Domestic) or (412) 317-5699 (International) approximately 15 minutes prior to the call. A telephone replay of the conference call will be available through August 14, 2026 and may be accessed by calling (855) 669-9658 (Domestic) or (412) 317-0088 (International) and utilizing conference ID #7827862.</w:t>
      </w:r>
    </w:p>
    <w:p>
      <w:pPr>
        <w:pStyle w:val="TextBody"/>
        <w:bidi w:val="0"/>
        <w:jc w:val="left"/>
        <w:rPr>
          <w:rFonts w:ascii="Times New Roman" w:hAnsi="Times New Roman"/>
          <w:color w:val="000000"/>
          <w:sz w:val="20"/>
        </w:rPr>
      </w:pPr>
      <w:r>
        <w:rPr>
          <w:rFonts w:ascii="Times New Roman" w:hAnsi="Times New Roman"/>
          <w:color w:val="000000"/>
          <w:sz w:val="20"/>
        </w:rPr>
        <w:t>For more detailed discussion of the financial and other information included in this press release, please refer to OFS Capital’s Form 10-Q for the quarter ended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Assets and Liabilities (Unaudited)</w:t>
      </w:r>
    </w:p>
    <w:p>
      <w:pPr>
        <w:pStyle w:val="TextBody"/>
        <w:bidi w:val="0"/>
        <w:spacing w:before="0" w:after="4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2"/>
        <w:gridCol w:w="211"/>
        <w:gridCol w:w="1036"/>
        <w:gridCol w:w="166"/>
        <w:gridCol w:w="146"/>
        <w:gridCol w:w="211"/>
        <w:gridCol w:w="1040"/>
        <w:gridCol w:w="293"/>
      </w:tblGrid>
      <w:tr>
        <w:trPr/>
        <w:tc>
          <w:tcPr>
            <w:tcW w:w="7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at fair value (amortized cost of $275,837 and $328,400,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for investments sold</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304,464</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346,706</w:t>
            </w:r>
          </w:p>
        </w:tc>
        <w:tc>
          <w:tcPr>
            <w:tcW w:w="29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2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lines of credit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(net of deferred debt issuance costs of $2,308 and $2,812, respectively)</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146,692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162,188</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payable</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 to adviser and affiliates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223,518</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251"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par value of $0.01 per share, 2,000,000 shares authorized, -0- shares issued and outstanding as of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of $0.01 per share, 100,000,000 shares authorized, 13,398,078 shares issued and outstanding as of June 30, 2026 and December 31, 2025, respectively</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 capital in excess of par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174,195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losses</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(61,717</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(51,141</w:t>
            </w:r>
          </w:p>
        </w:tc>
        <w:tc>
          <w:tcPr>
            <w:tcW w:w="2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123,188</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net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346,706</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outstanding</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9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7"/>
        <w:gridCol w:w="213"/>
        <w:gridCol w:w="1049"/>
        <w:gridCol w:w="166"/>
        <w:gridCol w:w="146"/>
        <w:gridCol w:w="228"/>
        <w:gridCol w:w="1124"/>
        <w:gridCol w:w="166"/>
        <w:gridCol w:w="146"/>
        <w:gridCol w:w="213"/>
        <w:gridCol w:w="1049"/>
        <w:gridCol w:w="166"/>
        <w:gridCol w:w="146"/>
        <w:gridCol w:w="213"/>
        <w:gridCol w:w="1049"/>
        <w:gridCol w:w="394"/>
      </w:tblGrid>
      <w:tr>
        <w:trPr/>
        <w:tc>
          <w:tcPr>
            <w:tcW w:w="3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income</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income</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Fee income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Base management fee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Incentive Fee</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Administration fee</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expenses before base management fee waiver</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Base management fee waiver</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 net of base management fee waiver</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investment income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realized and unrealized gain (loss) on investments</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realized loss, net of taxes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appreciation (depreciation), net of taxes</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gain (loss) on investments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investment income per common share – basic and diluted</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(loss) per common share – basic and diluted</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4"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Distributions declared per common share</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weighted-average common shares outstanding</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13,398,078</w:t>
            </w:r>
          </w:p>
        </w:tc>
        <w:tc>
          <w:tcPr>
            <w:tcW w:w="3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ABOUT OFS CAPITAL</w:t>
      </w:r>
      <w:r>
        <w:rPr>
          <w:rFonts w:ascii="Times New Roman" w:hAnsi="Times New Roman"/>
          <w:color w:val="000000"/>
          <w:sz w:val="20"/>
        </w:rPr>
        <w:t xml:space="preserve"> </w:t>
      </w:r>
    </w:p>
    <w:p>
      <w:pPr>
        <w:pStyle w:val="TextBody"/>
        <w:bidi w:val="0"/>
        <w:spacing w:before="0" w:after="156"/>
        <w:jc w:val="left"/>
        <w:rPr>
          <w:rFonts w:ascii="Times New Roman" w:hAnsi="Times New Roman"/>
          <w:sz w:val="20"/>
        </w:rPr>
      </w:pPr>
      <w:r>
        <w:rPr>
          <w:rFonts w:ascii="Times New Roman" w:hAnsi="Times New Roman"/>
          <w:color w:val="000000"/>
          <w:sz w:val="20"/>
        </w:rPr>
        <w:t>The Company is an externally managed, closed-end, non-diversified management investment company that has elected to be regulated as a business development company. The Company’s investment objective is to provide stockholders with both current income and capital appreciation primarily through debt investments and, to a lesser extent, equity investments. The Company invests primarily in privately held middle-market companies in the United States, including lower-middle-market companies, targeting investments of $3 million to $20 million in companies with annual EBITDA between $5 million and $50 million. The Company offers flexible solutions through a variety of asset classes including senior secured loans, which includes first-lien, second-lien and unitranche loans, as well as subordinated loans and, to a lesser extent, warrants and other equity securities. The Company’s investment activities are managed by OFS Capital Management, LLC, an investment adviser registered under the Investment Advisers Act of 1940</w:t>
      </w:r>
      <w:r>
        <w:rPr>
          <w:rFonts w:ascii="Times New Roman" w:hAnsi="Times New Roman"/>
          <w:color w:val="000000"/>
          <w:sz w:val="13"/>
        </w:rPr>
        <w:t>(4)</w:t>
      </w:r>
      <w:r>
        <w:rPr>
          <w:rFonts w:ascii="Times New Roman" w:hAnsi="Times New Roman"/>
          <w:color w:val="000000"/>
          <w:sz w:val="20"/>
        </w:rPr>
        <w:t xml:space="preserve">, as amended, and headquartered in Chicago, Illinois, with additional offices in New York and Los Angeles.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Statements in this press release regarding management's future expectations, beliefs, intentions, goals, strategies, plans or prospects, including statements relating to: OFS Capital’s results of operations, including net investment income, net asset value and net investment gains and losses and the factors that may affect such results; and other factors may constitute forward-looking statements for purposes of the safe harbor protection under applicable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Such forward-looking statements involve known and unknown risks, uncertainties and other factors including those risks, uncertainties and factors referred to in OFS Capital’s Annual Report on Form 10-K for the year ended December 31, 2025 filed with the Securities and Exchange Commission under the section “Risk Factors,” as well as other documents that may be filed by OFS Capital from time to time with the Securities and Exchange Commission. As a result of such risks, uncertainties and factors, actual results may differ materially from any future results, performance or achievements discussed in or implied by the forward-looking statements contained herein. OFS Capital is providing the information in this press release as of this date and assumes no obligations to update the information included in this press release or revise any forward-looking statements, whether as a result of new information, future events or otherwise.</w:t>
      </w:r>
    </w:p>
    <w:p>
      <w:pPr>
        <w:pStyle w:val="TextBody"/>
        <w:bidi w:val="0"/>
        <w:spacing w:before="100" w:after="10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both"/>
        <w:rPr>
          <w:rFonts w:ascii="Times New Roman" w:hAnsi="Times New Roman"/>
          <w:color w:val="000000"/>
          <w:sz w:val="20"/>
        </w:rPr>
      </w:pPr>
      <w:r>
        <w:rPr>
          <w:rFonts w:ascii="Times New Roman" w:hAnsi="Times New Roman"/>
          <w:color w:val="000000"/>
          <w:sz w:val="20"/>
        </w:rPr>
        <w:t>Steve Altebrando</w:t>
      </w:r>
    </w:p>
    <w:p>
      <w:pPr>
        <w:pStyle w:val="TextBody"/>
        <w:bidi w:val="0"/>
        <w:jc w:val="both"/>
        <w:rPr>
          <w:rFonts w:ascii="Times New Roman" w:hAnsi="Times New Roman"/>
          <w:color w:val="000000"/>
          <w:sz w:val="20"/>
        </w:rPr>
      </w:pPr>
      <w:r>
        <w:rPr>
          <w:rFonts w:ascii="Times New Roman" w:hAnsi="Times New Roman"/>
          <w:color w:val="000000"/>
          <w:sz w:val="20"/>
        </w:rPr>
        <w:t>847-734-2084</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investorrelations@ofscapital.com</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(4) Registration does not imply a certain level of skill or training</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OFS® and OFS Capital® are registered trademarks of Orchard First Source Asset Management, LLC. </w:t>
      </w:r>
    </w:p>
    <w:p>
      <w:pPr>
        <w:pStyle w:val="TextBody"/>
        <w:bidi w:val="0"/>
        <w:jc w:val="left"/>
        <w:rPr>
          <w:rFonts w:ascii="Times New Roman" w:hAnsi="Times New Roman"/>
          <w:color w:val="000000"/>
          <w:sz w:val="20"/>
        </w:rPr>
      </w:pPr>
      <w:r>
        <w:rPr>
          <w:rFonts w:ascii="Times New Roman" w:hAnsi="Times New Roman"/>
          <w:color w:val="000000"/>
          <w:sz w:val="20"/>
        </w:rPr>
        <w:t>OFS Capital Management is a trademark of Orchard First Source Asset Management, LLC.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3006</Words>
  <Characters>16266</Characters>
  <CharactersWithSpaces>19462</CharactersWithSpaces>
  <Paragraphs>1231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